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PE13.014570 vom 3. November 2015</w:t>
      </w:r>
    </w:p>
    <w:p>
      <w:r>
        <w:t>VD Tribunal cantonal, 2015-11-03, FR</w:t>
      </w:r>
    </w:p>
    <w:p>
      <w:r>
        <w:rPr>
          <w:b/>
        </w:rPr>
        <w:t xml:space="preserve">Quelle: </w:t>
      </w:r>
      <w:r>
        <w:t>https://mcp.opencaselaw.ch/entscheid/vd_gerichte_PE13.014570</w:t>
      </w:r>
    </w:p>
    <w:p>
      <w:r>
        <w:t>FR: VD_GERICHTE PE13.014570 du 3 novembre 2015</w:t>
      </w:r>
    </w:p>
    <w:p>
      <w:r>
        <w:t>IT: VD_GERICHTE PE13.014570 del 3 novembre 2015</w:t>
      </w:r>
    </w:p>
    <w:p>
      <w:pPr>
        <w:pStyle w:val="Heading2"/>
      </w:pPr>
      <w:r>
        <w:t>Erwägungen</w:t>
      </w:r>
    </w:p>
    <w:p>
      <w:r>
        <w:rPr>
          <w:b/>
        </w:rPr>
        <w:t>E. 4</w:t>
      </w:r>
    </w:p>
    <w:p>
      <w:r>
        <w:t>L’appelant conteste la qualification juridique d’acte d’ordre sexuel avec des enfants retenue à son encontre. Selon lui, le premier juge aurait dû faire application du principe in dubio pro reo et retenir, à tout le moins, l’infraction de désagréments causés par la confrontation à un acte d’ordre sexuel.</w:t>
      </w:r>
    </w:p>
    <w:p>
      <w:r>
        <w:rPr>
          <w:b/>
        </w:rPr>
        <w:t>E. 4.1</w:t>
      </w:r>
    </w:p>
    <w:p>
      <w:r>
        <w:t>L'art. 187 CP punit celui qui aura commis un acte d'ordre sexuel sur un enfant de moins de seize ans. Cette disposition a pour but de permettre aux enfants un développement sexuel non perturbé. Elle</w:t>
      </w:r>
    </w:p>
    <w:p>
      <w:r>
        <w:t>- 17 - protège le jeune en raison de son âge, de sorte qu’il est sans importance qu'il ait ou non consenti à l'acte. Définissant une infraction de mise en danger abstraite, elle n'exige pas que la victime ait été effectivement mise en danger ou perturbée dans son développement. Par acte d'ordre sexuel, il faut entendre une activité corporelle sur soi-même ou sur autrui qui tend à l’excitation ou à la jouissance sexuelle de I'un des participants au moins. Selon Ia jurisprudence, il faut d'abord distinguer les actes n'ayant aucune apparence sexuelle, qui ne tombent pas sous le coup de la loi, des actes clairement connotés sexuellement du point de vue de l’observateur neutre, qui remplissent toujours Ia condition objective de l’infraction, indépendamment des mobiles de l'auteur. Dans les cas équivoques, qui n’apparaissent extérieurement ni neutres, ni clairement connotés sexuellement, il convient de tenir compte de l’ensemble des éléments d'espèce, notamment de l'âge de Ia victime ou de sa différence d'âge avec l'auteur, de la durée de l’acte et de son intensité, ainsi que du lieu choisi par l'auteur (ATF 125 IV 58 consid. 3b). ll résulte de cette jurisprudence que Ia notion d'acte d'ordre sexuel doit être interprétée plus largement Iorsque la victime est un enfant. Dans ce cas, il faut se demander si l'acte, qui doit revêtir un caractère sexuel indiscutable, est de nature à perturber l’enfant (Corboz, Les infractions en droit suisse, vol. I, 3e éd., 2010, n. 7 ad art. 187 CP). Selon la doctrine, un baiser sur la bouche ou une tape sur les fesses sont des actes insignifiants (Corboz, op. cit., n. 10 ad art. 187 CP ; Trechsel et al., Schweizerisches Strafgesetzbuch, Praxiskommentar, 2e éd., n. 6 ad art. 187 CP). En revanche, un baiser lingual (Corboz, op. cit., n. 11 ad art. 187 CP ; Trechsel et al., ibidem) ou des baisers insistants sur la bouche (TF 6P.2/2005 et 6S.3/2005 du 11 février 2005 consid 7.2.1) revêtent indiscutablement un caractère sexuel. Il en va de même d'une caresse insistante du sexe, des fesses ou des seins, même par-dessus les habits (Trechsel et al., ibidem). Lorsque la victime est un enfant, la pratique tend à admettre l'existence d'un acte d'ordre sexuel, même pour des attouchements furtifs par-dessus les habits, qui entraîneraient plutôt,</w:t>
      </w:r>
    </w:p>
    <w:p>
      <w:r>
        <w:t>- 18 - entre adultes, l'application de l'art. 198 al. 2 CP (Corboz, op. cit., n. 7 ad art. 187 CP).</w:t>
      </w:r>
    </w:p>
    <w:p>
      <w:r>
        <w:rPr>
          <w:b/>
        </w:rPr>
        <w:t>E. 4.2</w:t>
      </w:r>
    </w:p>
    <w:p>
      <w:r>
        <w:t>L’appelant nie toute intention sexuelle. Toutefois, dès qu’il s’est retrouvé seul avec la jeune fille, il a mis son bras autour de ses épaules, l’a complimentée et lui a dit qu’il avait de « grosses couilles ». Il a également admis qu’elle l’excitait. Une amie de la jeune fille a d’ailleurs dit à cette dernière que l’appelant l’avait regardée avec insistance. L’appelant savait en outre que la plaignante était âgée de seulement 15 ans. Ainsi, en touchant les fesses de la plaignante, l’appelant a bien eu un geste à connotation sexuelle et non un geste accidentel ou furtif comme il le prétend. Celle-ci en a été profondément choquée. Partant, au vu du caractère sexuel des caresses – leur durée exacte a peu d’importance dans le cas d’espèce – de l’âge de la victime et de sa réaction, la qualification juridique d’acte d’ordre sexuel sur des enfants, retenue par le premier juge, doit être confirmée.</w:t>
      </w:r>
    </w:p>
    <w:p>
      <w:r>
        <w:rPr>
          <w:b/>
        </w:rPr>
        <w:t>E. 5</w:t>
      </w:r>
    </w:p>
    <w:p>
      <w:r>
        <w:t>J.________ conteste la quotité de la peine, qu’il estime excessive. Le Ministère public a conclu pour sa part à ce que la peine pécuniaire soit augmentée à 60 jours-amende, le montant du jour-amende étant de 50 fr., ainsi qu’à une amende de 800 francs. Il a en outre conclu à ce que la peine privative de liberté de substitution soit fixée à 16 jours.</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- 19 -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ATF 129 IV 6 consid. 6.1).</w:t>
      </w:r>
    </w:p>
    <w:p>
      <w:r>
        <w:rPr>
          <w:b/>
        </w:rPr>
        <w:t>E. 5.2</w:t>
      </w:r>
    </w:p>
    <w:p>
      <w:r>
        <w:t>Conformément à l'art. 19 al. 2 CP, le juge atténue la peine si, au moment d'agir, l'auteur ne possédait que partiellement la faculté d'apprécier le caractère illicite de son acte ou de se déterminer d'après cette appréciation.</w:t>
      </w:r>
    </w:p>
    <w:p>
      <w:r>
        <w:rPr>
          <w:b/>
        </w:rPr>
        <w:t>E. 5.3</w:t>
      </w:r>
    </w:p>
    <w:p>
      <w:r>
        <w:t>En l’espèce, la culpabilité de J.________ est lourde. Il a accosté plusieurs jeunes filles mineures et s’est permis de leur tenir des propos et d’avoir des gestes à caractère sexuel. Celles-ci ont été profondément choquées. Toutefois, il y a lieu de tenir compte, à l’instar du premier juge, d’une diminution importante de la responsabilité pénale de l’appelant comme cela ressort de l’expertise psychiatrique du 3 octobre 2013, si bien que c’est une faute légère qui sera retenue. A décharge, on retiendra également l’absence d’antécédent en matière sexuelle mais surtout la décompensation psychique survenue le jour des faits. Au vu de l'ensemble de ces éléments, la peine pécuniaire de 45 jours-amende prononcée en première instance, adéquate, doit être confirmée. S’agissant du montant du jour-amende, il y a lieu de tenir compte du revenu modeste de l’appelant et du fait qu’il est devenu père</w:t>
      </w:r>
    </w:p>
    <w:p>
      <w:r>
        <w:t>- 20 - l’année dernière. Compte tenu de ces éléments, le montant de 30 fr. prononcé par le premier juge, adéquat, doit être confirmé. L’amende de 600 fr., sanctionnant les contraventions à la loi sur les stupéfiants et de désagréments causés par la confrontation à un acte d’ordre sexuel, également adéquate, sera confirmée. La peine privative de liberté de substitution sera toutefois ramenée à 10 jours.</w:t>
      </w:r>
    </w:p>
    <w:p>
      <w:r>
        <w:rPr>
          <w:b/>
        </w:rPr>
        <w:t>E. 6</w:t>
      </w:r>
    </w:p>
    <w:p>
      <w:r>
        <w:t>Le Ministère public reproche au premier juge de ne pas avoir assorti le sursis de la condition que J.________ se soumette à un traitement psychiatrique-psychothérapeutique régulier. En l’espèce, il ressort de l’expertise psychiatrique qu’un traitement psychiatrique-psychothérapeutique intégré pourrait sensiblement diminuer le risque de récidive (P. 33). Dans leur complément d’expertise, les experts ont ajouté qu’un suivi psychiatrique régulier et une médication (stabilisateur de l’humeur) pendant au moins deux ans étaient indiqués et constituaient une bonne prévention d’une évolution vers une maladie bipolaire caractérisée (P. 65). L’appelant a été suivi durant plusieurs mois. Il a cependant interrompu la thérapie et a expliqué ne pas ressortir le besoin de revoir son médecin (jgt., p. 9). Comme le relève le Ministère public, en raison du risque de récidive, de l’absence de motivation et de la minimisation de ses actes, il paraît indispensable que le prévenu soit suivi régulièrement par un médecin psychiatre. Partant, le sursis accordé à J.________ sera subordonné à la condition qu’il se soumette à un traitement psychiatrique- psychothérapeutique régulier. L’appel du Ministère public sera admis sur ce point.</w:t>
      </w:r>
    </w:p>
    <w:p>
      <w:r>
        <w:rPr>
          <w:b/>
        </w:rPr>
        <w:t>E. 7</w:t>
      </w:r>
    </w:p>
    <w:p>
      <w:r>
        <w:t>Au vu de ce qui précède, l’appel de J.________ doit être rejeté et l’appel joint du Ministère public partiellement admis. Le jugement du</w:t>
      </w:r>
    </w:p>
    <w:p>
      <w:r>
        <w:t>- 21 - Tribunal de police de l'arrondissement de l’Est vaudois du 3 novembre 2015 sera modifié dans le sens des considérants. Vu l'issue de la cause, les frais d'appel doivent être mis par deux tiers à la charge de J.________, le solde étant laissé à la charge de l’Etat (art. 428 al. 1 CPP). Outre l'émolument, qui se monte à 2’050 fr. (art. 21 al. 1 et 2 TFIP [Tarif des frais de procédure et indemnités en matière pénale du 28 septembre 2010 ; RSV 312.03.1]), ces frais comprennent l’indemnité allouée à son défenseur d’office, par 1'649 fr. 50, TVA et débours inclus. J.________ ne sera tenu de rembourser à l’Etat les deux tiers de l’indemnité en faveur de son défenseur d’office que lorsque sa situation financière le permettra.</w:t>
      </w:r>
    </w:p>
    <w:p>
      <w:r>
        <w:rPr>
          <w:b/>
        </w:rPr>
        <w:t>E. 8</w:t>
      </w:r>
    </w:p>
    <w:p>
      <w:r>
        <w:t>Le dispositif communiqué après l’audience d’appel est entaché d’une erreur manifeste au chiffre VII du dispositif du jugement attaqué, puisqu’il est renoncé à révoquer le sursis accordé le 30 janvier 2012 par le Staatsanwaltschaft Bern-Mittelland à J.________. En application de l’art. 83 CPP, il sera rectifié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