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PE13.013779 vom 21. Oktober 2015</w:t>
      </w:r>
    </w:p>
    <w:p>
      <w:r>
        <w:t>VD Tribunal cantonal, 2015-10-21, FR</w:t>
      </w:r>
    </w:p>
    <w:p>
      <w:r>
        <w:rPr>
          <w:b/>
        </w:rPr>
        <w:t xml:space="preserve">Quelle: </w:t>
      </w:r>
      <w:r>
        <w:t>https://mcp.opencaselaw.ch/entscheid/vd_gerichte_PE13.013779</w:t>
      </w:r>
    </w:p>
    <w:p>
      <w:r>
        <w:t>FR: VD_GERICHTE PE13.013779 du 21 octobre 2015</w:t>
      </w:r>
    </w:p>
    <w:p>
      <w:r>
        <w:t>IT: VD_GERICHTE PE13.013779 del 21 ottobre 2015</w:t>
      </w:r>
    </w:p>
    <w:p>
      <w:pPr>
        <w:pStyle w:val="Heading2"/>
      </w:pPr>
      <w:r>
        <w:t>Erwägungen</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- 23 -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w:t>
      </w:r>
    </w:p>
    <w:p>
      <w:r>
        <w:rPr>
          <w:b/>
        </w:rPr>
        <w:t>E. 5.2</w:t>
      </w:r>
    </w:p>
    <w:p>
      <w:r>
        <w:t>Les appelants, qui ont conclu à leur acquittement, ne contestent pas formellement la quotité de la peine. Compte tenu du fait qu’il convient de retrancher la tentative d’escroquerie retenue à leur encontre en première instance, la Cour de céans considère qu’une peine de 180 jours-amende est adéquate pour sanctionner le comportement fautif des prévenus, étant rappelé que ceux-ci ont agi sans scrupules en créant et en présentant à une autorité cantonale des pièces dont ils savaient que le contenu était inexact, mais que les faits sont anciens et que les prévenus, qui n’avaient pas de casier judiciaire jusque-là, n’ont pas fait l’objet de nouvelle condamnation depuis lors.</w:t>
      </w:r>
    </w:p>
    <w:p>
      <w:r>
        <w:rPr>
          <w:b/>
        </w:rPr>
        <w:t>E. 5.3</w:t>
      </w:r>
    </w:p>
    <w:p>
      <w:r>
        <w:t>En première instance, les appelants ont également été condamnés à une amende à titre de sanction immédiate. Pour les motifs énoncés ci-dessus, en particulier l’ancienneté des faits et l’absence d’antécédents judiciaires des prévenus, la Cour de céans considère qu’il peut être renoncé au prononcé d’une telle sanction.</w:t>
      </w:r>
    </w:p>
    <w:p>
      <w:r>
        <w:t>- 24 -</w:t>
      </w:r>
    </w:p>
    <w:p>
      <w:r>
        <w:rPr>
          <w:b/>
        </w:rPr>
        <w:t>E. 5.4</w:t>
      </w:r>
    </w:p>
    <w:p>
      <w:r>
        <w:t>Enfin, le premier juge a mis l’ensemble des frais de première instance à la charge des prévenus. Bien que X.________ et Y.________ soient finalement libérés du chef de prévention de tentative d’escroquerie, il y a lieu de constater que l’ouverture de la procédure et l’intégralité des frais entraînés dans le cadre de celle-ci sont en relation avec le comportement répréhensible finalement retenu à la charge des appelants. Ceux-ci devront donc supporter l’entier des frais de première instance (art 426 CPP) et ne sauraient prétendre à l’allocation d’une indemnité au sens de l’art. 429 CPP pour la procédure de première instance.</w:t>
      </w:r>
    </w:p>
    <w:p>
      <w:r>
        <w:rPr>
          <w:b/>
        </w:rPr>
        <w:t>E. 6.1</w:t>
      </w:r>
    </w:p>
    <w:p>
      <w:r>
        <w:t>En définitive, les appels de X.________ et Y.________ doivent être partiellement admis et le jugement du 21 octobre 2015 modifié dans le sens des considérants (cf. consid. 4, 5.2 et 5.3).</w:t>
      </w:r>
    </w:p>
    <w:p>
      <w:r>
        <w:rPr>
          <w:b/>
        </w:rPr>
        <w:t>E. 6.2</w:t>
      </w:r>
    </w:p>
    <w:p>
      <w:r>
        <w:t>Me Nicolas Blanc, avocat de choix de X.________ et Y.________, a conclu à l’allocation, pour la procédure d’appel, d’une indemnité au sens de l’art. 429 al. 1 let. a CPP d’un montant de 1’500 fr. pour chacun des appelants. Selon l'art. 429 al. 1 let. a CPP, si le prévenu est acquitté totalement ou en partie ou s'il bénéficie d'une ordonnance de classement, il a droit à une indemnité pour les dépenses occasionnées par l'exercice raisonnable de ses droits de procédure. En l’espèce, les appelants, qui ont partiellement obtenu gain de cause en appel, peuvent prétendre à une indemnité pour les dépenses obligatoires occasionnées par cette phase de la procédure. Toutefois, au vu de l’admission partielle des appels, de la difficulté de la cause et du fait que les deux appels sont parfaitement identiques et ont été rédigés par le même avocat, les indemnités seront arrêtées à 500 fr. par appelant.</w:t>
      </w:r>
    </w:p>
    <w:p>
      <w:r>
        <w:t>- 25 -</w:t>
      </w:r>
    </w:p>
    <w:p>
      <w:r>
        <w:rPr>
          <w:b/>
        </w:rPr>
        <w:t>E. 6.3</w:t>
      </w:r>
    </w:p>
    <w:p>
      <w:r>
        <w:t>Vu l’issue de la cause, les frais de la procédure d'appel, constitués du seul émolument de jugement (art. 21 al. 1 TFIP [Tarif des frais de procédure et indemnités en matière pénale du 28 septembre 2010; RSV 312.03.1]), par 2'160 fr., doivent être mis par un quart à la charge de X.________, par un quart à la charge de Y.________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