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PE13.013706 vom 18. März 2014</w:t>
      </w:r>
    </w:p>
    <w:p>
      <w:r>
        <w:t>VD Tribunal cantonal, 2014-03-18, FR</w:t>
      </w:r>
    </w:p>
    <w:p>
      <w:r>
        <w:rPr>
          <w:b/>
        </w:rPr>
        <w:t xml:space="preserve">Quelle: </w:t>
      </w:r>
      <w:r>
        <w:t>https://mcp.opencaselaw.ch/entscheid/vd_gerichte_PE13.013706</w:t>
      </w:r>
    </w:p>
    <w:p>
      <w:r>
        <w:t>FR: VD_GERICHTE PE13.013706 du 18 mars 2014</w:t>
      </w:r>
    </w:p>
    <w:p>
      <w:r>
        <w:t>IT: VD_GERICHTE PE13.013706 del 18 marzo 2014</w:t>
      </w:r>
    </w:p>
    <w:p>
      <w:pPr>
        <w:pStyle w:val="Heading2"/>
      </w:pPr>
      <w:r>
        <w:t>Erwägungen</w:t>
      </w:r>
    </w:p>
    <w:p>
      <w:r>
        <w:rPr>
          <w:b/>
        </w:rPr>
        <w:t>E. 5</w:t>
      </w:r>
    </w:p>
    <w:p>
      <w:r>
        <w:t>En définitive, l’appel est partiellement admis et le jugement entrepris réformé dans le sens des considérants qui précèdent. Vu l'issue de la cause, les frais d'appel, constitués du seul émolument de 1’170 fr. (art. 21 al. 1 et 2 TFIP [Tarif des frais de procédure et indemnités en matière pénale du 28 septembre 2010; RSV 312.03.1]) doivent être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