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PE13.013591 vom 12. Dezember 2013</w:t>
      </w:r>
    </w:p>
    <w:p>
      <w:r>
        <w:t>VD Tribunal cantonal, 2013-12-12, FR</w:t>
      </w:r>
    </w:p>
    <w:p>
      <w:r>
        <w:rPr>
          <w:b/>
        </w:rPr>
        <w:t xml:space="preserve">Quelle: </w:t>
      </w:r>
      <w:r>
        <w:t>https://mcp.opencaselaw.ch/entscheid/vd_gerichte_PE13.013591</w:t>
      </w:r>
    </w:p>
    <w:p>
      <w:r>
        <w:t>FR: VD_GERICHTE PE13.013591 du 12 décembre 2013</w:t>
      </w:r>
    </w:p>
    <w:p>
      <w:r>
        <w:t>IT: VD_GERICHTE PE13.013591 del 12 dicembre 2013</w:t>
      </w:r>
    </w:p>
    <w:p>
      <w:pPr>
        <w:pStyle w:val="Heading2"/>
      </w:pPr>
      <w:r>
        <w:t>Erwägungen</w:t>
      </w:r>
    </w:p>
    <w:p>
      <w:r>
        <w:rPr>
          <w:b/>
        </w:rPr>
        <w:t>E. 1</w:t>
      </w:r>
    </w:p>
    <w:p>
      <w:r>
        <w:t>Ressortissant de Serbie-Montenegro né en 1976, S.________ est père de deux enfants mineurs. Il vit actuellement séparé de son épouse et contribue à l’entretien des siens par le versement d’une contribution d’entretien de 3'000 fr. par mois. Travaillant pour le compte de l’entreprise M.________ SA, il réalise un salaire mensuel net d’environ 6'000 fr., treizième inclus. Propriétaire d’un bien immobilier mis en location, il perçoit des revenus locatifs à hauteur de 100'000 fr. par an. Son casier judiciaire fait état des condamnations suivantes : - 7 février 2007, Préfecture de Moudon, amende de 680 fr. pour violation grave des règles de la circulation routière ; - 26 février 2010, Préfecture de Lausanne, peine pécuniaire de 25 jours-amende à 50 fr. le jour-amende avec sursis pendant deux ans, et amende de 1'000 fr., pour emploi d’étrangers sans autorisation ; - 21 janvier 2011, Ministère public de l’arrondissement du Nord vaudois, peine pécuniaire de 150 jours-amende à 40 fr. le jour-amende avec sursis pendant quatre ans, et amende de 2'400 fr., pour emploi d’étrangers sans autorisation et violation grave des règles de la circulation routière. Au fichier ADMAS du Service des automobiles et de la navigation figurent trois mentions de retraits de permis pour vitesse excessive, la dernière mesure, datée du 9 septembre 2010, faisant état d’un retrait de permis pour treize mois.</w:t>
      </w:r>
    </w:p>
    <w:p>
      <w:r>
        <w:rPr>
          <w:b/>
        </w:rPr>
        <w:t>E. 2</w:t>
      </w:r>
    </w:p>
    <w:p>
      <w:r>
        <w:t>L’appelant conteste les faits et invoque la présomption d’innocence. Il reproche au premier juge d’avoir considéré que les explications des policiers étaient précises et fiables. a) La présomption d'innocence, qui est garantie par l'art. 32 al. 1 Cst. (Constitution fédérale de la Confédération suisse du 18 avril 1999;</w:t>
      </w:r>
    </w:p>
    <w:p>
      <w:r>
        <w:t>- 6 -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6B_562/2010 du 28 octobre 2010 c. 2.1.1; TF 6B_831/2009 du 25 mars 2010 c. 2.2.1).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(ATF 120 Ia 31 c. 2c; TF 6B_562/2010 du 28 octobre 2010 c. 2.1.1; TF 6B_831/2009 précité c. 2.2.2).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l'appréciation des preuves se confond avec l'interdiction générale de l'arbitraire, prohibant une appréciation reposant sur des preuves inadéquates ou sans pertinence. b) S.________ soutient tout d’abord que le rapport de police n’indique pas clairement où les faits litigieux se seraient produits. Cela n’est pas exact dès lors que le rapport de police mentionne en page 2, sous la rubrique « Endroit », que les gendarmes circulaient sur l’A9 Lausanne-Simplon, chaussée lac, et qu’ils ont constaté l’infraction dès le km 36 (Montreux-Villeneuve), sis dans le district de la Riviera-Pays d’Enhaut.</w:t>
      </w:r>
    </w:p>
    <w:p>
      <w:r>
        <w:t>- 7 - c) L’appelant soutient que les policiers ne pouvaient pas constater l’infraction, en raison de la configuration des lieux, des conditions du moment, de la densité du trafic et de leur angle de vision notamment. En l’occurrence, les faits se sont déroulés en pleine journée. Il y avait des travaux et la circulation se faisait en file. Il ressort du rapport de police que les policiers circulaient sur la voie de droite, alors que le prévenu se tenait sur la voie de gauche. De plus, le dénonciateur, entendu lors des débats, a expliqué que la patrouille avait été dépassée par le prévenu, ce qui lui avait permis de constater la distance insuffisante. Les gendarmes ont ensuite suivi l’intéressé sur environ un kilomètre et n’ont pas constaté de changements à la distance qui séparait la voiture du prévenu et celle qui le précédait. Ces explications sont cohérentes et convaincantes, les dénonciateurs ayant au demeurant l’habitude d’estimer les distances et étant assermentés. On relèvera enfin qu’il ressort du rapport de police que, lors de son interpellation, le prévenu a fini par admettre les faits et reconnaître qu’il circulait effectivement à une distance de cinq à six mètres du véhicule qui le précédait. d) L’appelant se plaint aussi du fait que le rapport de police n’indique pas à quelle vitesse lui-même ou les policiers circulaient, qu’aucun élément ne permet de la définir, le dénonciateur n’étant à cet égard pas crédible en ne s’en souvenant que lors de l’audience. Ces allégations de l’appelant sont inexactes. Il ressort en effet du rapport de police que le prévenu roulait à une vitesse d’environ 80 km/heure. Aux débats, le dénonciateur a expliqué qu’il avait fait cette estimation parce que la patrouille roulait elle-même à 75 km/h et qu’elle avait été dépassée. Cette explication est claire. e) L’appelant fait valoir en dernier lieu que son véhicule est pourvu d’un régulateur de vitesse, qui l’oblige à freiner s’il est trop proche de la voiture précédente ; ce dispositif est selon lui « configuré d’usine et</w:t>
      </w:r>
    </w:p>
    <w:p>
      <w:r>
        <w:t>- 8 - ne nécessite pas de manipulation particulière ». Il aurait été enclenché le jour en question. En l’occurrence, rien, à part les déclarations du prévenu, ne prouve que le dispositif était enclenché au moment des faits. L’intéressé, qui a de mauvais antécédents en matière de circulation routière et est directement intéressé au sort de la cause, n’est à cet égard pas crédible dans la mesure où ses allégations se heurtent aux constatations des policiers. Du reste, il est conseillé par le fabricant du véhicule – cela ressort aussi de la notice technique produite – de n’utiliser le régulateur de vitesse adaptatif que « quand les conditions sont favorables, c'est-à-dire sur routes droites, sèches et dégagées avec peu de circulation » (cf. notice technique, p. 154). Il est dès lors fort peu probable qu’il ait été mis en marche dans des conditions de circulation telles que celles rencontrées au moment des faits litigieux. Au vu de l’ensemble des éléments qui précèdent, il ne subsiste pas de doute raisonnable quant à la culpabilité de S.________. C’est dès lors à bon droit que le tribunal a considéré qu’il s’était rendu coupable de violation simple des règles de la circulation. L’appelant ne conteste pas la qualification juridique des faits ni la sanction prononcée.</w:t>
      </w:r>
    </w:p>
    <w:p>
      <w:r>
        <w:rPr>
          <w:b/>
        </w:rPr>
        <w:t>E. 3</w:t>
      </w:r>
    </w:p>
    <w:p>
      <w:r>
        <w:t>En définitive, l’appel doit être rejeté et le jugement du 12 décembre 2013 intégralement confirmé. Vu l’issue de la cause, les frais d’appel doivent être mis à la charge de S.________, qui succombe (art. 426 al. 1 et 428 al. 1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