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PE13.013587 vom 26. September 2013</w:t>
      </w:r>
    </w:p>
    <w:p>
      <w:r>
        <w:t>VD Tribunal cantonal, 2013-09-26, FR</w:t>
      </w:r>
    </w:p>
    <w:p>
      <w:r>
        <w:rPr>
          <w:b/>
        </w:rPr>
        <w:t xml:space="preserve">Quelle: </w:t>
      </w:r>
      <w:r>
        <w:t>https://mcp.opencaselaw.ch/entscheid/vd_gerichte_PE13.013587</w:t>
      </w:r>
    </w:p>
    <w:p>
      <w:r>
        <w:t>FR: VD_GERICHTE PE13.013587 du 26 septembre 2013</w:t>
      </w:r>
    </w:p>
    <w:p>
      <w:r>
        <w:t>IT: VD_GERICHTE PE13.013587 del 26 settembre 2013</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La recourante fait valoir que W.________ SA aurait obtenu la mainlevée d’opposition sur la base d’un faux, soit d’un fax comportant une</w:t>
      </w:r>
    </w:p>
    <w:p>
      <w:r>
        <w:t>- 3 - signature qui n’était pas la sienne ni celle d’un proche ou d’un ancien employé. De ce fait, elle considère que le Ministère public aurait dû ouvrir une instruction pour faux dans les titres. a) Aux termes de l'art. 310 al. 1 CPP, une ordonnance de non- 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b) Réprimant le faux dans les titres, l'art. 251 ch. 1 CP (Code pénal suisse du 21 décembre 1937, RS 311.0), dispose que celui qui, dans le dessein de porter atteinte aux intérêts pécuniaires ou aux droits d'autrui, ou de se procurer ou de procurer à un tiers un avantage illicite,</w:t>
      </w:r>
    </w:p>
    <w:p>
      <w:r>
        <w:t>- 4 - aura créé un titre faux, falsifié un titre, abusé de la signature ou de la marque à la main réelles d'autrui pour fabriquer un titre supposé, ou constaté ou fait constater faussement, dans un titre, un fait ayant une portée juridique, sera puni d’une peine privative de liberté de cinq ans au plus ou d’une peine pécuniaire. 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(ATF 126 IV 65 c. 2a; TF 6B_223/2012 du 14 décembre 2012 c. 2.2). c) En l’espèce, les faits dénoncés dans la plainte de la recourante sont confus, de sorte qu’il est difficile de comprendre quel est le document (argué de faux) qui a été produit par la société W.________ SA à l’appui de sa requête de mainlevée. Il semble toutefois découler du prononcé de mainlevée (P. 4/2) que le titre de mainlevée en question est le fax intitulé « Postes ouverts débiteur, 023006 : Buffet [...] M. [...] » (P. 4/8; cf. également P. 6/5). Or, il n’existe aucun indice permettant de soupçonner que ce titre – qui n’est pas un faux intellectuel par lequel W.________ SA aurait constaté faussement un fait ayant une portée juridique – aurait été falsifié (la falsification consistant à modifier le contenu du titre) par cette société. Par conséquent, l’infraction de faux dans les titres n’est manifestement pas réalisée. Si la signature n’était pas celle de la recourante ou d’une personne qui engageait valablement celle-ci, il lui incombait de le faire valoir dans le cadre de la procédure de poursuite. Dans ces conditions, la Cour de céans ne discerne aucune infraction pénale. C’est donc à bon droit que la Procureure a décidé de ne pas entrer en matière sur la plainte de la recourante du 4 juillet 2013.</w:t>
      </w:r>
    </w:p>
    <w:p>
      <w:r>
        <w:t>- 5 -</w:t>
      </w:r>
    </w:p>
    <w:p>
      <w:r>
        <w:rPr>
          <w:b/>
        </w:rPr>
        <w:t>E. 3</w:t>
      </w:r>
    </w:p>
    <w:p>
      <w:r>
        <w:t>Il résulte de ce qui précède que le recours, manifestement mal fondé, doit être rejeté sans autres échanges d’écritures (art. 390 al. 2 CPP) et l’ordonnance entreprise confirmée. Les frais de la procédure de recours, constitués en l'espèce du seul 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26 septembre 2013 est confirmée. III. Les frais de la procédure de recours, par 550 fr. (cinq cent cinquante francs), sont mis à la charge de C.________. IV. Le présent arrêt est exécutoire. Le président : La greffière : Du L'arrêt qui précède, dont la rédaction a été approuvée à huis clos, est notifié, par l'envoi d'une copie complète, à : - Mme C.________, - Ministère public central,</w:t>
      </w:r>
    </w:p>
    <w:p>
      <w:r>
        <w:t>- 6 -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