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PE13.012796 vom 20. August 2014</w:t>
      </w:r>
    </w:p>
    <w:p>
      <w:r>
        <w:t>VD Tribunal cantonal, 2014-08-20, FR</w:t>
      </w:r>
    </w:p>
    <w:p>
      <w:r>
        <w:rPr>
          <w:b/>
        </w:rPr>
        <w:t xml:space="preserve">Quelle: </w:t>
      </w:r>
      <w:r>
        <w:t>https://mcp.opencaselaw.ch/entscheid/vd_gerichte_PE13.012796</w:t>
      </w:r>
    </w:p>
    <w:p>
      <w:r>
        <w:t>FR: VD_GERICHTE PE13.012796 du 20 août 2014</w:t>
      </w:r>
    </w:p>
    <w:p>
      <w:r>
        <w:t>IT: VD_GERICHTE PE13.012796 del 20 agosto 2014</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En l’espèce, il y a lieu d’entrer en matière sur le recours de J.________ SA, prévenue, qui a été interjeté en temps utile devant l’autorité compétente et satisfait aux conditions de forme posées par l’art. 385 al. 1 CPP.</w:t>
      </w:r>
    </w:p>
    <w:p>
      <w:r>
        <w:rPr>
          <w:b/>
        </w:rPr>
        <w:t>E. 2</w:t>
      </w:r>
    </w:p>
    <w:p>
      <w:r>
        <w:t>J.________ SA conteste le refus de l'autorité de lui allouer une indemnité au titre de l'art. 429 al. 1 let. a CPP.</w:t>
      </w:r>
    </w:p>
    <w:p>
      <w:r>
        <w:rPr>
          <w:b/>
        </w:rPr>
        <w:t>E. 2.1</w:t>
      </w:r>
    </w:p>
    <w:p>
      <w:r>
        <w:t>D'après l'art. 429 al. 1 CPP, si le prévenu est acquitté totalement ou en partie ou s’il bénéficie d’une ordonnance de classement, il a droit notamment (a) à une indemnité pour les dépenses occasionnées par l’exercice raisonnable de ses droits de procédure et (b) à une indemnité pour le dommage économique subi au titre de sa participation obligatoire à la procédure pénale. Aux termes de l’art. 430 al. 1 CPP,</w:t>
      </w:r>
    </w:p>
    <w:p>
      <w:r>
        <w:t>- 4 - l’autorité pénale peut réduire ou refuser cette indemnité notamment si le prévenu a provoqué illicitement et fautivement l’ouverture de la procédure ou a rendu plus difficile la conduite de celle-ci. L'indemnité selon l'art. 429 al. 1 let. a CPP concerne les dépenses du prévenu pour un avocat de choix (ATF 139 IV 241 c. 1; ATF 138 IV 205 c. 1). Elle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p. 1313 ch. 2.10.3.1; TF 6B_392/2013 du 4 novembre 2013 c. 2.1).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 2.3.5 pp. 203 s.) mais l'allocation d'une indemnité selon l'art. 429 CPP peut aussi entrer en considération pour une non entrée en</w:t>
      </w:r>
    </w:p>
    <w:p>
      <w:r>
        <w:t>- 5 - matière (ATF 139 IV 241 c. 1). Savoir si le recours à un avocat procède d'un exercice raisonnable des droits de procédure et si, par conséquent, une indemnité pour frais de défense selon l'art. 429 al. 1 let. a CPP peut être allouée au prévenu, est une question de droit (arrêt précité c. 2.3.6 p. 204; TF 6B_387/2013 du 8 juillet 2013, c. 2.1 non publié aux ATF 139 IV 241).</w:t>
      </w:r>
    </w:p>
    <w:p>
      <w:r>
        <w:rPr>
          <w:b/>
        </w:rPr>
        <w:t>E. 2.2</w:t>
      </w:r>
    </w:p>
    <w:p>
      <w:r>
        <w:t>En l'occurrence, J.________ SA a été considérée comme prévenue dans la présente procédure. Le fait qu'il s'agisse d'une société ne modifie en rien la possibilité pour elle d'obtenir une indemnité. Si, comme le relève la procureure, on ne distingue pas dans les pièces du dossier des investigations menées directement à l'encontre de la société, il n'en demeure pas moins que celle-ci a été visée directement par la plainte et qu'elle s'est déterminée très tôt dans la procédure. Les enjeux que constituaient pour elle une mise en cause pour faux dans les titres notamment étaient suffisants pour justifier l'intervention d'un conseil professionnel. Au demeurant, une audition du co-prévenu a eu lieu en présence du conseil de la société, ce qui pouvait s'avérer utile. Enfin, le montant réclamé par Me Virieux devant la procureure pour la défense des intérêts de J.________ SA (P. 40) n'était certes pas détaillé mais cela ne justifiait pas en soi le refus d'une indemnité, laquelle doit faire l'objet d'un examen d'office (art. 429 CPP). En l'absence d'éléments suffisants pour prendre sa décision, il appartenait à la procureure d'interpeller préalablement la recourante sur ce point afin de lui permettre d'étayer ses prétentions (TF 1B_475/2011 du 11 janvier 2012 c. 2.2 et 2.3; TF 6B_472/2012 du 13 novembre 2012 c. 2.1). Au vu de ce qui précède, c'est à tort que la procureure a nié le droit de J.________ SA à être indemnisée au sens de l'art. 429 al. 1 CPP. Sur le principe, une indemnité est due.</w:t>
      </w:r>
    </w:p>
    <w:p>
      <w:r>
        <w:rPr>
          <w:b/>
        </w:rPr>
        <w:t>E. 2.3</w:t>
      </w:r>
    </w:p>
    <w:p>
      <w:r>
        <w:t>Reste à déterminer quel doit être le montant de celle-ci. La note d'honoraires produite à l'appui du recours est pour le moins succincte et se borne à faire état de près de 22 heures de travail de</w:t>
      </w:r>
    </w:p>
    <w:p>
      <w:r>
        <w:t>- 6 - l'avocat ou de ses collaborateurs pour la défense des intérêts de J.________ SA. S'y ajoutent un montant de débours, par 330 fr., et les frais liés à la mise en œuvre d'une expertise graphologique privée, par 1'590 francs. Or, cette expertise ne saurait être indemnisée dans la mesure où la procureure a elle-même mis en œuvre une expertise judiciaire, rapidement après avoir été saisie du dossier (P. 12). La démarche entreprise par la prévenue était donc inutile. Quant aux honoraires, il apparaît qu'une seule audience a eu lieu, pour l'audition de G.________, le 13 septembre 2013, de 9h05 à 9h30. Figurent au dossier cinq courriers à l'en-tête de l'étude, l'avocat en charge du dossier ayant pour le surplus reçu quelques avis du Ministère public. A cela doivent s'ajouter une conférence avec la cliente ainsi que quelques correspondances cliente- conseil. L'ensemble de ces opérations correspond à 7 heures de travail – rémunérées à un taux horaire de 300 fr., conformément à l'art. 26 al. 3 TFIP (Tarif cantonal des frais de procédure et indemnités en matière pénale du 28 septembre 2010, RSV 312.03.1) – plus les débours requis, par 330 fr., et la TVA, par 194 fr. 40, soit au total 2'624 fr. 40.</w:t>
      </w:r>
    </w:p>
    <w:p>
      <w:r>
        <w:rPr>
          <w:b/>
        </w:rPr>
        <w:t>E. 3</w:t>
      </w:r>
    </w:p>
    <w:p>
      <w:r>
        <w:t>En définitive, le recours doit être partiellement admis et l'ordonnance rectificative du 16 juin 2014 modifiée en ce sens qu'un montant de 2'624 fr. 40 sera alloué à J.________ SA à titre d'indemnité pour les dépenses occasionnées par l'exercice raisonnable de ses droits de procédure au sens de l'art. 429 al. 1 let. a CPP. Les frais de la procédure de recours, constitués de l'émolument d'arrêt, par 770 fr. (art. 20 al. 1 TFIP), seront supportés par moitié par la recourante, qui n'obtient que partiellement gain de cause, vu le montant de ses conclusions, le solde étant laissé à la charge de l'Etat. Enfin, la recourante, qui a procédé avec l'assistance d'un mandataire professionnel, a également droit à une indemnité réduite de moitié pour les dépenses occasionnées par l'exercice raisonnable de ses droits dans le cadre de la présente procédure de recours (art. 429 al. 1 let. a et 436 CPP). Le montant de cette indemnité sera fixé à 486 fr. pour toutes choses, à la charge de l'Etat.</w:t>
      </w:r>
    </w:p>
    <w:p>
      <w:r>
        <w:t>- 7 - Par ces motifs, la Chambre des recours pénale prononce : I. Le recours est partiellement admis. II. L'ordonnance rectificative du 16 juin 2014 est réformée au chiffre I de son dispositif en ce sens que : I. Corrige l'ordonnance rendue le 30 mai 2014 dans le sens suivant: Alloue à J.________ SA une indemnité de 2'624 fr. 40 (deux mille six cent vingt-quatre francs et quarante centimes), débours et TVA compris, au sens de l'art. 429 CPP. III. L'ordonnance est confirmée pour le surplus. IV. Les frais du présent arrêt, par 770 fr. (sept cent septante francs), sont mis par moitié, soit par 385 fr. (trois cent huitante-cinq francs), à la charge de J.________ SA, le solde étant laissé à la charge de l'Etat. V. Une indemnité de 486 fr. (quatre cent huitante-six francs) est allouée à J.________ SA pour les dépenses occasionnées par l'exercice raisonnable de ses droits de procédure pour la procédure de recours, à la charge de l'Etat. VI. Le présent arrêt est exécutoire. Le président : La greffière :</w:t>
      </w:r>
    </w:p>
    <w:p>
      <w:r>
        <w:t>- 8 - Du L'arrêt qui précède, dont la rédaction a été approuvée à huis clos, est notifié, par l'envoi d'une copie complète, à : - M. Gérald Virieux, avocat (pour J.________ SA), - Ministère public central, et communiqué à : - Mme la Procureure de l'arrondissement de Lausanne, - M. Charles Munoz, avocat (pour G.________), - M. Tony Donnet-Monay, avocat (pour Z.________),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