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PE13.012501 vom 20. November 2019</w:t>
      </w:r>
    </w:p>
    <w:p>
      <w:r>
        <w:t>VD Tribunal cantonal, 2019-11-20, FR</w:t>
      </w:r>
    </w:p>
    <w:p>
      <w:r>
        <w:rPr>
          <w:b/>
        </w:rPr>
        <w:t xml:space="preserve">Quelle: </w:t>
      </w:r>
      <w:r>
        <w:t>https://mcp.opencaselaw.ch/entscheid/vd_gerichte_PE13.012501</w:t>
      </w:r>
    </w:p>
    <w:p>
      <w:r>
        <w:t>FR: VD_GERICHTE PE13.012501 du 20 novembre 2019</w:t>
      </w:r>
    </w:p>
    <w:p>
      <w:r>
        <w:t>IT: VD_GERICHTE PE13.012501 del 20 novembre 2019</w:t>
      </w:r>
    </w:p>
    <w:p>
      <w:pPr>
        <w:pStyle w:val="Heading2"/>
      </w:pPr>
      <w:r>
        <w:t>Erwägungen</w:t>
      </w:r>
    </w:p>
    <w:p>
      <w:r>
        <w:rPr>
          <w:b/>
        </w:rPr>
        <w:t>E. 5.1</w:t>
      </w:r>
    </w:p>
    <w:p>
      <w:r>
        <w:t>Le Ministère public soutient que la culpabilité de N.________ serait établie. Pour le Parquet, la condamnation s’imposerait sur la base d’un faisceau d’indices qu’il faudrait considérer comme un ensemble, au lieu de les réfuter un par un, comme l’aurait arbitrairement fait les premiers juges. Le Ministère public relève que A.L.________ perdait la mémoire, n’avait plus toute sa tête et qu’elle était une personne vulnérable. Elle n’avait pas un train de vie dispendieux, de sorte qu’on ne voit pas à quoi aurait pu lui servir tout l’argent retiré. Elle n’aurait plus eu guère de contacts avec l’extérieur et la prévenue aurait été la seule personne avec qui elle passait du temps, comme dame de compagnie. La prévenue a par ailleurs admis qu’elle était présente lors de certains retraits d’argent, alors qu’elle accompagnait A.L.________ et l’argent disparaissait ensuite, puisque l’on n’a retrouvé aucune somme d’argent importante au domicile de la lésée. L’argent aurait ainsi nécessairement été remis à – ou pris par – N.________. Sachant que la situation financière de cette dernière était précaire, celle-ci aurait pu répéter à A.L.________ qu’elle lui devait de l’argent pour son travail et l’amener ainsi à lui donner des centaines de milliers de francs. En outre, en faisant le ménage, la prévenue aurait dû trouver régulièrement l’argent que A.L.________ cachait dans son appartement. Plusieurs témoins avaient par ailleurs affirmé que A.L.________ posait toute le temps la question de savoir si elle devait de</w:t>
      </w:r>
    </w:p>
    <w:p>
      <w:r>
        <w:t>- 24 - l’argent, alors que la prévenue aurait contesté cela, ce qui serait très surprenant et constituerait encore un indice de culpabilité supplémentaire.</w:t>
      </w:r>
    </w:p>
    <w:p>
      <w:r>
        <w:rPr>
          <w:b/>
        </w:rPr>
        <w:t>E. 5.2</w:t>
      </w:r>
    </w:p>
    <w:p>
      <w:r>
        <w:t>Les principes relatifs à la présomption d’innocence ont été exposés au consid. 4.2 supra, auquel on peut se référer.</w:t>
      </w:r>
    </w:p>
    <w:p>
      <w:r>
        <w:rPr>
          <w:b/>
        </w:rPr>
        <w:t>E. 5.3</w:t>
      </w:r>
    </w:p>
    <w:p>
      <w:r>
        <w:t>La version présentée par le Ministère public est plausible. Reste à déterminer si les éléments du dossier sont suffisants pour convaincre de la culpabilité de la prévenue. On relève que le Ministère public ne prend pas position sur le principal argument retenu dans le jugement de première instance, à savoir le fait que la prévenue ne passait que six heures par semaine chez A.L.________ et que de nombreux retraits sont intervenus en dehors de ses heures de travail chez la plaignante. En effet, la prévenue a indiqué qu’elle travaillait pour Z.________ tous les jours, de 11h30 à 16h00 environ (PV aud. 10, l. 229) et venait les lundis, jeudis et samedis, aux alentours de 8h00 et durant environ deux heures, pour assister A.L.________ dans son ménage et lui faire un petit-déjeuner. Le jugement de première instance a relevé à juste titre qu’au moins quinze retraits avaient été effectués pendant les heures de travail de N.________ au service de Z.________ (notamment les 18 août, 4 septembre, 8 septembre, 25 septembre et 13 novembre 2009, 7 juillet 2010, 8 mars, 25 mai, 6 juin, 8 août, 12 septembre et 14 novembre 2011, 14 mai, 6 août et 25 octobre 2012 ; cf. P. 134) et aucun élément du dossier ne permet de retenir qu’elle était en congé ces jours-là. Cette circonstance liée aux heures des retraits suffit à battre en brèche le « faisceau d’indices » évoqué par le Ministère public. La Cour de céans partage ainsi l’avis des premiers juges en ce sens qu’une ou des personnes ont profité de la confusion de A.L.________ pour obtenir des avantages ou des libéralités indues. Comme le relève le Ministère public, plusieurs témoins ont affirmé que la plaignante demandait régulièrement si elle leur devait de l’argent (PV aud. 5, ll. 40 s. ; PV aud. 7 ll. 36 ss. ; PV aud. 9 l. 30 s.), de sorte qu’il n’est pas exclu</w:t>
      </w:r>
    </w:p>
    <w:p>
      <w:r>
        <w:t>- 25 - que d’autres personnes qui gravitaient autour d’elle aient profité de sa vulnérabilité. Le fait que la prévenue ait été présente lors de certains retraits, une cinquantaine de fois selon ses déclarations, ne signifie pas encore qu’elle se soit accaparé l’argent retiré. Comme les premiers juges, on relève que l’enquête n’a pas démontré le moindre enrichissement de la prévenue, malgré des mesures d’instruction conséquentes (notamment une commission rogatoire en Bosnie-Herzégovine), ni une augmentation de son train de vie, qui est resté modeste. Finalement, le fait que deux documents (un extrait de compte de W.________ ainsi que le courrier comprenant le code NIP avec lequel certains retraits litigieux ont été effectués à un guichet postal) aient été retrouvés chez la prévenue est sans doute troublant, mais il ne prouve rien, puisque A.L.________ était présente lors de ces retraits, qu’elle aurait pu avoir noté son code pour l’utiliser avec sa carte et qu’il n’est pas établi que la prévenue aurait tapé le code NIP lorsqu’elle accompagnait la plaignante. Cette dernière a d’ailleurs signé elle-même les quittances de retraits effectués au guichet des banques [...] et [...], ce qui n’est pas contesté (P. 132/2 et 133/2). En définitive, l’appel joint du Ministère public n’emporte pas la conviction. Il subsiste toujours un doute qui doit profiter à l’accusée. Il s’ensuit que le jugement de première instance sera confirmé en ce sens que la prévenue est libérée des chefs d’accusation d’usure par métier, subsidiairement vol par métier et escroquerie par métier.</w:t>
      </w:r>
    </w:p>
    <w:p>
      <w:r>
        <w:rPr>
          <w:b/>
        </w:rPr>
        <w:t>E. 6.1</w:t>
      </w:r>
    </w:p>
    <w:p>
      <w:r>
        <w:t>N.________ estime que c’est à tort que son indemnité au sens de l’art. 429 al. 1 let. a CPP a été réduite à 12'000 fr., en lieu et place des 18'896 fr. requis. Elle conteste avoir commis de faute civile qui justifierait une réduction de ladite indemnité.</w:t>
      </w:r>
    </w:p>
    <w:p>
      <w:r>
        <w:t>- 26 -</w:t>
      </w:r>
    </w:p>
    <w:p>
      <w:r>
        <w:rPr>
          <w:b/>
        </w:rPr>
        <w:t>E. 6.2.1</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ligne de compte dans la même proportion (ATF 144 IV 207 consid. 1.8.2 ; ATF 137 IV 352 consid. 2.4.2, JdT 2012 IV 255 ; TF 6B_1191/2016 du 12 octobre 2017 consid. 2.2 ; TF 6B_262/2015 du 29 janvier 2016 consid. 1.2 ; TF 6B_77/2013 du 4 mars 2013 consid. 2.4 ; CAPE 13 mai 2019/182 consid. 5.2.1). L’art. 430 al. 1 CPP posant les mêmes conditions que l’art. 426 al. 2 CPP, il est adéquat de se référer dans les deux cas à la jurisprudence rendue en matière de condamnation aux frais du prévenu acquitté (ATF 137 IV 352 précité ; TF 6B_77/2013 précité consid. 2.3). La question de l'indemnisation doit être tranchée après la question des frais. Dans cette mesure, la décision sur les frais préjuge de la question de l'indemnisation (ATF 145 IV 268 consid. 1.2 ; TF 6B_7/2020 du 17 février 2020 consid. 5.1). Selon l'art. 426 al. 2 CPP, lorsque la procédure fait l'objet d'une ordonnance de classement ou que le prévenu est acquitté, tout ou partie des frais de procédure peuvent être mis à sa charge s'il a, de manière</w:t>
      </w:r>
    </w:p>
    <w:p>
      <w:r>
        <w:t>- 27 -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(ATF 144 IV 202 consid. 2.2 et les arrêts cités ; TF 6B_886/2018 du 31 octobre 2018 consid. 2.1.1). La condamnation aux frais ne saurait ainsi constituer une peine déguisée qui laisserait supposer que le prévenu est coupable ou qu’il subsisterait un soupçon à son encontre (Moreillon/Parein-Reymond, Petit commentaire du Code de procédure pénale, Bâle 2016, n. 13 ad art. 426 et la réf. cit.). Selon la jurisprudence de la Cour européenne des droits de l’Homme, l’art. 6 par. 2 CEDH est violé si une décision donne le sentiment que le prévenu n’a échappé à une condamnation qu’en raison de la seule prescription (cf. CourEDH no 5689/08 du 3 mai 2011, Giosakis c. Grèce, § 41 et 42).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w:t>
      </w:r>
    </w:p>
    <w:p>
      <w:r>
        <w:t>- 28 -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w:t>
      </w:r>
    </w:p>
    <w:p>
      <w:r>
        <w:rPr>
          <w:b/>
        </w:rPr>
        <w:t>E. 6.3</w:t>
      </w:r>
    </w:p>
    <w:p>
      <w:r>
        <w:t>En l’espèce, les premiers juges ont estimé que le nombre d’heures et le tarif de l’avocat ne prêtaient pas le flanc à la critique. Néanmoins, ils ont considéré que N.________ avait adopté un comportement moralement répréhensible et discutable sur le plan civil. Le tribunal lui a ainsi reproché de n’avoir pas informé les proches de A.L.________ des sommes importantes qui étaient prélevées sur ses comptes. Elle avait donc eu un comportement inadmissible qui avait provoqué l’ouverture de la procédure à son encontre, son acquittement résultant du doute raisonnable. En conséquence, le tribunal de première instance a estimé que les 6'400 fr. versés par la prévenue à titre de provision pouvaient rester à sa charge. Enfin, les premiers juges ont considéré que les frais de procédure devaient être laissés à la charge de l’Etat, compte tenu de l’acquittement de la prévenue. Ce raisonnement ne peut pas être suivi. En effet, selon la jurisprudence précitée, il existe un parallélisme entre la mise à la charge du prévenu des frais de procédure selon l'art. 426 al. 1 et 2 CPP et la réduction ou le refus de l'indemnité selon les art. 429 et 430 CPP, en ce sens que si les frais sont supportés par l’Etat en tout ou partie, une indemnisation entre en ligne de compte dans la même proportion (cf. supra consid. 6.2).</w:t>
      </w:r>
    </w:p>
    <w:p>
      <w:r>
        <w:t>- 29 - Par ailleurs, il n’est pas admissible de relativiser le doute qui a profité à l’accusée au moment de statuer sur l’indemnité qui doit lui être octroyée, compte tenu de son acquittement. Les considérations développées dans le jugement de première instance ne respectent ainsi pas la présomption d’innocence. Enfin, on ne voit pas à quel titre N.________ aurait revêtu une position de garant à l’égard de A.L.________ ou de ses proches, ni sur la base de quelle obligation de droit civil la prévenue aurait dû avoir la conscience d’informer les proches des sommes importantes qui étaient prélevées. Il s’ensuit que l’indemnité fondée sur l’art. 429 al. 1 let. a CPP ne peut pas être réduite, de sorte qu’un montant de 18'896 fr. sera alloué à N.________ à ce titre.</w:t>
      </w:r>
    </w:p>
    <w:p>
      <w:r>
        <w:rPr>
          <w:b/>
        </w:rPr>
        <w:t>E. 7</w:t>
      </w:r>
    </w:p>
    <w:p>
      <w:r>
        <w:t>Au vu de ce qui précède, l’appel de A.L.________ et l’appel joint du Ministère public doivent être rejetés, tandis que l’appel joint de N.________ doit être admis. Le jugement sera par conséquent réformé dans le sens du considérant 6.3 supra et confirmé pour le surplus. Le défenseur d’office de N.________, Me Ludovic Tirelli, a produit une liste d’opérations faisant état d’une durée de 20,9 heures d’activité (P. 176), dont il n’y a pas lieu de s’écarter, sauf pour ajouter le temps consacré à l’audience d’appel, qui a duré 2,5 heures. La durée totale consacrée par le défenseur d’office à la procédure pénale se monte ainsi à 23,4 heures.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de lui allouer un montant de 4’215 fr. à titre d’honoraires. A cela s’ajoutent un forfait pour les débours de 2 % (cf. art. 26b TFIP qui renvoie à l'art. 3bis RAJ), par 84 fr. 30, une vacation par 120 fr., ainsi que la TVA sur le tout, au taux de 7,7%, par 340 fr. 30. Partant, une indemnité d’un montant total de 4'759 fr. 60 sera allouée à Me Ludovic Tirelli.</w:t>
      </w:r>
    </w:p>
    <w:p>
      <w:r>
        <w:t>- 30 - Vu l’issue de la cause, les frais de deuxième instance, totalisant 7'869 fr. 60, – constitués en l’espèce de l’émolument de jugement, par 3’120 fr. (art. 21 al. 1 et 2 TFIP), ainsi que de l’indemnité allouée au défenseur d’office de N.________, par 4'759 fr. 60, – doivent être mis par moitié, soit par 3'934 fr. 80, à la charge de B.L.________, G.________ et G.________, solidairement entre eux, le solde étant laissé à la charge de l’Etat (art. 428 al. 1 CPP). Compte tenu du rejet de l’appel principal, l’indemnité requise par B.L.________, G.________ et Q.________, fondée sur l’art. 433 CPP, ne leur sera pas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