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PE13.011429 vom 8. Juli 2015</w:t>
      </w:r>
    </w:p>
    <w:p>
      <w:r>
        <w:t>VD Tribunal cantonal, 2015-07-08, FR</w:t>
      </w:r>
    </w:p>
    <w:p>
      <w:r>
        <w:rPr>
          <w:b/>
        </w:rPr>
        <w:t xml:space="preserve">Quelle: </w:t>
      </w:r>
      <w:r>
        <w:t>https://mcp.opencaselaw.ch/entscheid/vd_gerichte_PE13.011429</w:t>
      </w:r>
    </w:p>
    <w:p>
      <w:r>
        <w:t>FR: VD_GERICHTE PE13.011429 du 8 juillet 2015</w:t>
      </w:r>
    </w:p>
    <w:p>
      <w:r>
        <w:t>IT: VD_GERICHTE PE13.011429 del 8 luglio 2015</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du prévenu A.A.________ est recevable. Il en va de même de l'appel joint du Ministère public.</w:t>
      </w:r>
    </w:p>
    <w:p>
      <w:r>
        <w:rPr>
          <w:b/>
        </w:rPr>
        <w:t>E. 1.4</w:t>
      </w:r>
    </w:p>
    <w:p>
      <w:r>
        <w:t>;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 1.4 ; 134 IV 315 consid. 3.4.1).</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- 41 - au traitement de l’appel (art. 389 al. 3 CPP ; TF 6B_78/2012 du 27 août 2012).</w:t>
      </w:r>
    </w:p>
    <w:p>
      <w:r>
        <w:rPr>
          <w:b/>
        </w:rPr>
        <w:t>E. 2.3</w:t>
      </w:r>
    </w:p>
    <w:p>
      <w:r>
        <w:t>et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(cf. TF 6B_372/2012 du 27 septembre 2012 consid. 2.3 et arrêts cités).</w:t>
      </w:r>
    </w:p>
    <w:p>
      <w:r>
        <w:t>- 52 -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w:t>
      </w:r>
    </w:p>
    <w:p>
      <w:r>
        <w:rPr>
          <w:b/>
        </w:rPr>
        <w:t>E. 3</w:t>
      </w:r>
    </w:p>
    <w:p>
      <w:r>
        <w:t>L’appelant conteste sa condamnation pour tentative de meurtre, niant toute intention homicide. Tout en se prévalant des propos tenus aux débats par l’expert S.________, il explique en bref qu’il n’a jamais voulu tuer, mais uniquement faire peur et blesser, qu’il était rompu au maniement des armes, qu’en temps normal, il devait pouvoir se rendre compte qu’un coup de feu était toujours potentiellement mortel, mais que le temps s’était arrêté pour lui, que la réalité ne s’était imposée à lui qu’après qu’il ait tiré sur sa belle-mère et sur la main de son beau-père, que sa faculté d’apprécier le risque qu’il faisait courir à sa famille par ses actes devait être fortement altérée au moment des faits et qu’il ne pouvait pas réellement se rendre compte du danger mortel qu’il faisait encourir à son épouse et à sa belle-famille au moment des faits.</w:t>
      </w:r>
    </w:p>
    <w:p>
      <w:r>
        <w:rPr>
          <w:b/>
        </w:rPr>
        <w:t>E. 3.1</w:t>
      </w:r>
    </w:p>
    <w:p>
      <w:r>
        <w:t>Pour que l’infraction de meurtre au sens de l’art. 111 CP (Code pénal suisse du 21 décembre 1937 ; RS 311.0) soit réalisée, il faut que l’auteur ait eu l’intention de causer par son comportement la mort d’autrui, le dol éventuel étant toutefois suffisant (Corboz, Les infractions en droit suisse, vol. I, 3e éd., Berne 2010, n. 17 ad art. 111 CP). Selon l’art. 12 al. 2 CP, agit intentionnellement quiconque commet un crime ou un délit avec conscience et volonté. 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au moins par dol éventuel, commence l'exécution de cette infraction, manifestant ainsi sa décision de la commettre, sans que le résultat ne se produise. La tentative suppose toujours un comportement intentionnel, le dol éventuel étant toutefois suffisant. Il y a dol éventuel lorsque l’auteur tient pour possible la réalisation de l’infraction et l’accepte au cas où celle-</w:t>
      </w:r>
    </w:p>
    <w:p>
      <w:r>
        <w:t>- 42 - ci se produirait, même s’il ne le souhaite pas (art. 12 al. 2 CP; ATF 137 IV 1 consid. 4.2.3;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6B_741/2010 du 9 novembre 2010 consid. 2.1.1). Parmi les éléments extérieurs retenus en tant que révélateurs du contenu de la conscience et de la volonté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Peuvent également constituer des éléments extérieurs révélateurs, les mobiles de l’auteur et la manière dont il a agi (ATF 135 IV 12 consid. 2.3.3; 125 IV 242 consid. 3c in fine ; 6B_246/2012 du 10 juillet 2012 consid.1.1). Comme on l'a relevé ci-avant, la nature de la lésion subie par la victime et sa qualification d’un point de vue objectif est sans pertinence pour juger si le recourant s’est rendu coupable de tentative de meurtre. Il n’est ainsi pas même nécessaire que la victime soit blessée pour qu’une tentative de meurtre soit retenue dans la mesure où la condition subjective de l’infraction est remplie (TF 6B_246/2012 du 10 juillet 2012 consid. 1.3).</w:t>
      </w:r>
    </w:p>
    <w:p>
      <w:r>
        <w:rPr>
          <w:b/>
        </w:rPr>
        <w:t>E. 3.2</w:t>
      </w:r>
    </w:p>
    <w:p>
      <w:r>
        <w:t>En l’espèce, il résulte du déroulement des faits tel qu’exposé ci-dessus que l’appelant a quitté son domicile situé en Suisse allemande pour se rendre au domicile de son ex-épouse à [...] avec deux pistolets, qu’il a munitionnés le lendemain matin après avoir passé la nuit dans les sous-sols de l’immeuble de son ex-épouse. Avant de faire feu dans la salle de bains, le prévenu a dit aux plaignants qu’il allait tous les tuer. Il a alors tiré à deux reprises dans l’entrebâillement de la porte de la salle de bains, malgré les supplications de ses victimes, sans connaître la position exacte</w:t>
      </w:r>
    </w:p>
    <w:p>
      <w:r>
        <w:t>- 43 - des personnes qui s’y trouvaient, alors que sa fille C.A.________ était également dans la pièce. Lorsqu’une de ses armes s’est enrayée, il a pris la seconde pour faire feu sur son ex beau-père. Aux débats, A.A.________ a reconnu que n’importe quel coup de feu tiré en direction d’un groupe de personnes confiné dans un espace restreint dont on a qu’une vision restreinte pouvait tuer. Les experts ont souligné la fascination du prévenu pour les armes. Il est établi que A.A.________ était rompu au maniement des armes, de sorte qu’il pouvait pleinement apprécier – et peut-être plus que quiconque – le risque létal d’une arme qui fait feu. On notera d’ailleurs que lorsqu’il a tiré sur le poste de télévision, il a pris soin, selon ses dires, de le faire avec le pistolet le moins performant en sa possession pour ne pas mettre en danger le voisin. La manière dont A.A.________ a agi est également révélatrice de son intention. En effet, comme l’a expliqué le Dr S.________ aux débats, le prévenu a eu tout le temps de la réflexion durant le trajet en train qu’il a effectué entre son domicile et celui de son ex-épouse tout en étant muni de deux pistolets chargés et sa volonté de faire du mal ne s’est pas effacée durant le trajet. L’absence de réflexion est donc liée à la prise de décision et non à l’exécution de celle-ci. L’appelant s’écarte donc des conclusions claires des experts en tentant, en vain, d’étendre cette absence de réflexion à la phase de l’exécution proprement dite. Il apparaît dès lors que le prévenu n’a pas agi dans la précipitation sans pouvoir entrevoir les conséquences de son acte. La probabilité de la survenance de la mort d’une personne qui se trouvait dans la salle de bains était particulièrement élevée, ce dont A.A.________ était parfaitement conscient. Preuve en est la peur qu’il a eue de blesser le voisin de son ex-épouse lorsqu’il a tiré dans le téléviseur. Il reconnaît ainsi qu’il se rendait compte des risques liés à l’usage d’une arme à feu. Dans ces circonstances, la cour de céans considère, à l’instar des premiers juges, que le prévenu était conscient que les deux coups de feu tirés à l’aveugle dans la salle de bains étaient susceptibles de causer</w:t>
      </w:r>
    </w:p>
    <w:p>
      <w:r>
        <w:t>- 44 - la mort des personnes qui s’y trouvaient et qu’il s’était accommodé du résultat possible, soit la mort d’une personne qui se trouvait dans la salle de bains, cela même s’il ne la souhaitait pas. Au vu de l’ensemble de ces éléments, la condamnation de A.A.________ pour tentative de meurtre par dol éventuel doit être confirmée.</w:t>
      </w:r>
    </w:p>
    <w:p>
      <w:r>
        <w:rPr>
          <w:b/>
        </w:rPr>
        <w:t>E. 4</w:t>
      </w:r>
    </w:p>
    <w:p>
      <w:r>
        <w:t>L’appelant conteste la quotité de la peine qu’il juge trop sévère, faisant valoir que le chef d’accusation de meurtre n’a pas été retenu et que, au vu de sa responsabilité diminuée, une peine privative de liberté de 4 ans serait adéquate. Le Ministère public conclut quant à lui, à ce que l’appelant soit condamné à une peine privative de liberté de 7 ans.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- 45 - pénale (TF 6B_335/2012 du 13 août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4.1.2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JdT 2010 IV 127).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précité consid. 5.5).</w:t>
      </w:r>
    </w:p>
    <w:p>
      <w:r>
        <w:t>- 46 -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JdT 2010 IV 127 consid. 5.7).</w:t>
      </w:r>
    </w:p>
    <w:p>
      <w:r>
        <w:rPr>
          <w:b/>
        </w:rPr>
        <w:t>E. 4.2</w:t>
      </w:r>
    </w:p>
    <w:p>
      <w:r>
        <w:t>S’agissant de la fixation de la peine, la cour de céans jouit d’un libre pouvoir d’appréciation, de sorte qu’elle n’est pas liée par la motivation des premiers juges dont le calcul donne l’impression qu’une réduction linéaire de la peine s’est opérée en fonction de la diminution de la responsabilité pénale du prévenu. Comme les premiers juges, la cour de céans qualifie la culpabilité de A.A.________ d’extrêmement lourde. Il y a lieu de tenir compte, à charge du prévenu, des infractions multiples commises qui sont</w:t>
      </w:r>
    </w:p>
    <w:p>
      <w:r>
        <w:t>- 47 - en concours. En effet, A.A.________ a été reconnu coupable de tentative de meurtre, infraction passible d’une peine privative de liberté de cinq ans au moins. Il a également été reconnu coupable de lésions corporelles simples qualifiées, de menaces et de menaces qualifiées, infractions passibles d’une peine privative de liberté de trois ans au plus ou d’une peine pécuniaire. Il est encore condamné pour voies de fait qualifiées, dommages à la propriété, injure, utilisation abusive d’une installation de télécommunication, menaces, menaces qualifiées, tentative de contrainte, violation de domicile, incendie intentionnel, insoumission à une décision de l’autorité, contravention à la LStup et infraction à l’art. 33 la. 1 let. a LArm. Il convient également de tenir compte du fait que les infractions reprochées ont été commises alors que le prévenu était au bénéfice d’un sursis ensuite d’une condamnation pour lésions corporelles simples qualifiées et contravention à la LStup, se rendant ainsi coupable de récidive pour ces infractions. Les actes commis par le prévenu sont objectivement très graves. A.A.________ n’a pas hésité à s’en prendre aux biens juridiques les plus précieux de notre ordre juridique, à savoir la vie et l’intégrité corporelle. Aux dires des experts (P. 85 et P. 263), le prévenu présentait, au moment des faits du 11 juin 2013, une responsabilité moyennement diminuée. Dans la mesure où le prévenu n’a pas poursuivi son intention homicide jusqu’à son terme, la faute commise doit être considérée comme moyennement grave. Or son mobile relève de la haine farouche qu’il voue à son ex-épouse et à ses beaux-parents depuis la naissance de sa fille en 2006, ainsi qu’à une volonté vengeresse. Les relations entre A.A.________ et son épouse sont devenues houleuses et empruntes de violence rapidement après leur mariage. Le prévenu a été condamné une première fois pour lésions corporelles simples qualifiées à l’égard de son épouse par ordonnance pénale du 26 septembre 2012. Les faits reprochés, qui se sont déroulés sur plusieurs années, sont montés en puissance jusqu’au 11 juin 2013. C’est par chance que l’issue n’a pas été fatale pour ses victimes. De plus, le prévenu a fait preuve de détermination puisqu’il a commencé par menacer son ex-épouse dans l’ascenseur, avant de s’introduire dans l’ap- partement de cette dernière et de s’en prendre à elle, à sa fille et à ses</w:t>
      </w:r>
    </w:p>
    <w:p>
      <w:r>
        <w:t>- 48 - beaux-parents qui s’étaient réfugiés dans la salle de bains. Le prévenu a partiellement reconnu les faits tout en minimisant ses actes, se retranchant sans cesse derrière les troubles psychiques diagnostiqués par les experts et en se plaçant en victime. Il n’a exprimé aucun regret à ses victimes, allant jusqu’à avoir un comportement méprisant à leur égard tout au long de l’instruction et lors des débats. Enfin, il y a lieu de tenir compte de son mauvais comportement en détention. A décharge, il est tenu compte de la situation personnelle de A.A.________ et des bons renseignements donnés sur lui par des témoins. Partant, au vu des éléments à charge et à décharge qui viennent d’être exposés, l’appréciation des premiers juges ne prête pas le flanc à la critique. Ainsi, en tenant compte d’une diminution moyenne de sa responsabilité et de l’ensemble des éléments à charge, la faute de A.A.________ doit être qualifiée de lourde et une peine privative de liberté de six ans apparaît adéquate. La peine de sept ans requise par le Ministère public paraît quant à elle trop sévère, de sorte que ce moyen, mal fondé, doit être rejeté.</w:t>
      </w:r>
    </w:p>
    <w:p>
      <w:r>
        <w:rPr>
          <w:b/>
        </w:rPr>
        <w:t>E. 5</w:t>
      </w:r>
    </w:p>
    <w:p>
      <w:r>
        <w:t>L’appelant conteste la mesure thérapeutique prononcée. Il demande à pouvoir bénéficier d’un traitement ambulatoire au sens de l’art. 63 CP, au lieu d’un traitement institutionnel en milieu fermé prévu par l’art. 59 al. 3 CP. Il fait valoir que les experts psychiatriques ont initialement préconisé un traitement ambulatoire, que ceux-ci ont préconisé un traitement en milieu fermé après l’incendie survenu dans sa cellule et que son évolution thérapeutique est encourageante. Le Ministère public requiert, quant à lui, l’internement de l’appelant en application de l’art. 64 al. 1 CP, relevant que le prévenu souffre d’un grave trouble de la personnalité, que le risque de récidive est important et qu’il s’étend au-delà de la seule cellule familiale.</w:t>
      </w:r>
    </w:p>
    <w:p>
      <w:r>
        <w:rPr>
          <w:b/>
        </w:rPr>
        <w:t>E. 5.1</w:t>
      </w:r>
    </w:p>
    <w:p>
      <w:r>
        <w:t>Selon l'art. 56 al. 1 CP, une mesure doit être ordonnée si une peine seule ne peut écarter le danger que l'auteur commette d'autres</w:t>
      </w:r>
    </w:p>
    <w:p>
      <w:r>
        <w:t>- 49 -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En vertu de l’art. 56 al. 5 CP, le juge n'ordonne une mesure que si un établissement approprié est à disposition. Cette disposition vie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(Message du Conseil fédéral concernant la modification du code pénal suisse, FF 1999 pp. 1787 ss, spéc. 1879 ; Dupuis et alii, Petit Commentaire du Code pénal, Bâle 2012, n. 22 ad art. 56 CP ; ATF 130 IV 49).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consid. 4.2.3 ; 129 I 49 consid. 4). Inversement, si les conclusions d'une expertise judiciaire apparaissent douteuses sur des points essentiels, le juge doit recueillir des preuves complémentaires pour tenter de dissiper ses doutes. A défaut, en se</w:t>
      </w:r>
    </w:p>
    <w:p>
      <w:r>
        <w:t>- 50 - fondant sur une expertise non concluante, il pourrait commettre une appréciation arbitraire des preuves et violer l'art. 9 Cst. (ATF 136 II 539 consid. 3.2).</w:t>
      </w:r>
    </w:p>
    <w:p>
      <w:r>
        <w:rPr>
          <w:b/>
        </w:rPr>
        <w:t>E. 5.1.1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ATF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Heer, in : Niggli/ Wiprächtiger [éd.], Basler Kommentar, Strafrecht I, Art. 1-110 StGB, 3e éd., Bâle 2013, n. 78 ad art. 59 CP). Il suffit que l'intéressé puisse être motivé (TF 6B_784/2010 du 2 décembre 2010 consid. 2.2.3).</w:t>
      </w:r>
    </w:p>
    <w:p>
      <w:r>
        <w:t>- 51 - Conformément à l'art. 59 al. 2 CP, le traitement institutionnel s'effectue en règle générale dans un établissement psychiatrique approprié ou dans un établissement d'exécution des mesures.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2e phrase, CP).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w:t>
      </w:r>
    </w:p>
    <w:p>
      <w:r>
        <w:rPr>
          <w:b/>
        </w:rPr>
        <w:t>E. 5.1.2</w:t>
      </w:r>
    </w:p>
    <w:p>
      <w:r>
        <w:t>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w:t>
      </w:r>
    </w:p>
    <w:p>
      <w:r>
        <w:rPr>
          <w:b/>
        </w:rPr>
        <w:t>E. 5.1.3</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1er octobre 2010 consid. 3.2.1).</w:t>
      </w:r>
    </w:p>
    <w:p>
      <w:r>
        <w:t>- 53 -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135 IV 49 consid. 1.1.2.1).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JdT 2010 IV 3),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w:t>
      </w:r>
    </w:p>
    <w:p>
      <w:r>
        <w:t>- 54 -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 ATF 134 IV 121 consid. 3.4.2).</w:t>
      </w:r>
    </w:p>
    <w:p>
      <w:r>
        <w:rPr>
          <w:b/>
        </w:rPr>
        <w:t>E. 5.2</w:t>
      </w:r>
    </w:p>
    <w:p>
      <w:r>
        <w:t>En l’espèce, il ressort de l’expertise psychiatrique du 23 octobre 2013 (P. 85) et du rapport complémentaire du 9 octobre 2014 (P. 263) établis par les Drs S.________ et B.________ que A.A.________ souffre d’un grave trouble mixte de la personnalité induisant des angoisses persécutives intenses associées à une extrême fragilité identitaire, ainsi que d’épisode dépressif moyen sans syndrome somatique. Il en découle des failles dans ses capacités de penser et de jugement. Il est donc indéniable que le prévenu souffre d’un grave trouble mental, lequel était déjà présent au moment des faits. Le prononcé d’une mesure pour traiter les troubles mentaux dont souffre le prévenu est donc justifié, ce que A.A.________ ne conteste d'ailleurs pas, puisqu'il conclut à la poursuite d’un traitement ambulatoire au sens de l’art. 63 CP. Dans leur rapport, les experts ont relevé que A.A.________ avait une forte tendance à agir avec impulsivité, sans considération pour les conséquences possibles de ses actes, qu’il présentait des troubles de la pensée sous la forme d’idées de persécution, qu’en raison de son grave trouble de la personnalité, il agissait en se déterminant par rapport à son besoin interne d’échapper à une annihilation de son être, identitairement fragile, et qu’il procédait par raisonnement inductif plus que déductif, se persuadant qu’il était intimement attaqué et menacé. Au vu de la personnalité éminemment fragile du prévenu, les experts ont estimé qu’il était susceptible de commettre le même type d’infraction, ciblée sur les mêmes personnes. Selon les experts, le prévenu présente une faible conscience morbide, mais il semble se rendre compte que le suivi mis en place depuis son incarcération au [...] permet de diminuer ses tensions internes et son</w:t>
      </w:r>
    </w:p>
    <w:p>
      <w:r>
        <w:t>- 55 - irritabilité. A défaut de traitement, le risque que l'appelant commette de nouvelles infractions est considéré comme élevé, voire très élevé, par les experts, son accès aux soins paraissant limité en raison même de ses troubles. Les médecins ne préconisent nullement un traitement ambulatoire tel que sollicité par l’appelant. Les experts considèrent en effet qu’un traitement en milieu carcéral pourrait apporter une amélioration de la conscience morbide, et donc de la compliance du prévenu. Si, dans leur rapport d’expertise et leur complément, les experts allaient plutôt dans le sens d’une possible prise en charge ambulatoire, ils ont clairement indiqué, lors des débats, que, au vu de la dangerosité du prévenu, seul un traitement psychothérapeutique au long court prodigué en milieu fermé, dans un cadre contenant et sécurisé, pourrait réduire le risque de récidive. Au demeurant, comme l’a démontré l’attitude du prévenu à l’égard de son ex-épouse et de sa famille lors des débats, les problèmes qu’il rencontre avec eux sont loin d’être réglés. On notera qu’au moment des faits, le prévenu était déjà suivi par un psychiatre, le Dr [...], et que le traitement dont il bénéficiait, assimilable à celui dont il souhaiterait pouvoir bénéficier en lieu et place du traitement institutionnel ordonné par les premiers juges, n’a pas empêché la gradation de la violence du prévenu, lequel est allé jusqu’à commettre les actes du 11 juin 2013. Il ressort en outre du rapport d’expertise complémentaire qu’avant les événements de juin 2013, A.A.________ a montré une mauvaise compliance au traitement médicamenteux et qu’il avait tendance à cesser toute médication dès qu’il se sentait mieux. Au reste, son accès aux soins paraît limité en raison de son trouble de la personnalité et de la très faible conscience morbide qu’il offre, et seul un long suivi régulier du prévenu pourrait apporter des modifications en profondeur de sa personnalité et de ses comportements. Au vu de ces éléments, un traitement ambulatoire au sens de l'art. 63 CP serait totalement vain et illusoire. Seul un traitement</w:t>
      </w:r>
    </w:p>
    <w:p>
      <w:r>
        <w:t>- 56 - thérapeutique institutionnel est envisageable et propre à prévenir la commission de nouvelles infractions au sens de l’art. 59 al. 3 CP. La cour de céans peut certes donner acte au Ministère public que le pronostic concernant le prévenu est très sombre. Cela étant, la cour s’écarterait des constatations des experts en retenant que le prévenu est « a priori » incurable, les experts ayant clairement affirmé qu’un traitement psychothérapeutique au long cours avait des chances de diminuer le risque de récidive, qui est essentiellement – sinon exclusivement – familial. On peut en outre penser que le conflit familial majeur s’apaisera, ne serait-ce que par l’écoulement du temps et l’éloignement, et par le fait que C.A.________ acquerra son indépendance. Partant, dans la mesure où une mesure institutionnelle au sens de l’art. 59 CP apparaît susceptible de détourner A.A.________ de commettre de nouvelles infractions en rapport avec ses troubles, le principe de subsidiarité commande d’ordonner un traitement institutionnel et non un internement, celui-ci pouvant, au reste, être ordonné ultérieurement si l’évolution du prévenu devait l’exiger. L’appel joint du Ministère public doit par conséquent également être rejeté sur ce point.</w:t>
      </w:r>
    </w:p>
    <w:p>
      <w:r>
        <w:rPr>
          <w:b/>
        </w:rPr>
        <w:t>E. 6</w:t>
      </w:r>
    </w:p>
    <w:p>
      <w:r>
        <w:t>L’appelant requiert une réduction des frais de justice de première instance mis à sa charge (art. 425 CPP). Il invoque qu’il devra honorer les sommes allouées aux plaignants à titre de dédommagement. 6.1.1 Conformément à l’art. 426 al. 1 CPP, il y a lieu de mettre les frais à la charge du prévenu condamné. L’art. 425 CPP dispose que l’autorité pénale peut accorder un sursis pour le paiement des frais de procédure, et qu’elle peut réduire ou remettre les frais compte tenu de la situation de la personne astreinte à les payer. La jurisprudence de la Cour d’appel pénale du Tribunal cantonal est restrictive concernant l’application de l’art. 425 CPP (cf. CAPE 26 janvier 2012/47, CAPE 30 mai 2012/146, CAPE 2 août 2012/196, CAPE 17 août 2012/206). Cette dernière impose que la situation générale de la</w:t>
      </w:r>
    </w:p>
    <w:p>
      <w:r>
        <w:t>- 57 - personne (personnelle, familiale et procédurale) soit obérée de façon sérieuse. 6.1.2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2e éd. Bâle 2014, n. 2 ad art. 425 CPP). Le CPP impose au juge de se poser la question de l’incidence de la mise à la charge du condamné des frais sur sa réinsertion sociale et également du rôle des frais par rapport à la peine, ceux-ci ne devant pas être perçus comme une peine déguisée (Domeisen, op. cit., n. 3 ad art. 425 CPP;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6.2</w:t>
      </w:r>
    </w:p>
    <w:p>
      <w:r>
        <w:t>La question de la réduction des frais de première instance aurait pu se poser si les autres moyens de l’appelant étaient admis, en particulier si l’exécution de la peine privative de liberté était suspendue au</w:t>
      </w:r>
    </w:p>
    <w:p>
      <w:r>
        <w:t>- 58 - profit d’un traitement ambulatoire comme l’autorise l’art. 63 al. 2 CP. Or en l’espèce, la cour de céans peine à voir en quoi le paiement des frais de justice pourrait avoir une incidence sur la réinsertion sociale de l’appelant, qui est astreint à une mesure institutionnelle d’une durée minimale de cinq ans, renouvelable. Partant, il n’y a pas lieu de réduire les frais de première instance qui, conformément aux règles de l’art. 426 CPP, doivent être mis à la charge du prévenu. Mal fondé, ce moyen doit donc être rejeté.</w:t>
      </w:r>
    </w:p>
    <w:p>
      <w:r>
        <w:rPr>
          <w:b/>
        </w:rPr>
        <w:t>E. 7</w:t>
      </w:r>
    </w:p>
    <w:p>
      <w:r>
        <w:t>En définitive, l’appel interjeté par A.A.________ et l’appel joint du Ministère public doivent être rejetés et le jugement entrepris intégralement confirmé. Le défenseur d’office de l’appelant a déposé une liste d’opérations (P. 385) faisant état d’une activité de 30,7 heures, sans compter l’audience d’appel, et de 928 fr. 80 de débours. Le temps allégué apparaît largement excessif compte tenu des caractéristiques du dossier et des difficultés de la cause en fait et en droit. Au stade de la procédure d'appel, le défenseur d'office désigné au cours de l’instruction (cf. ord- onnance de remplacement du défenseur d’office du 9 janvier 2014), soit plus d’un an et demi avant l’audience de jugement, a déjà acquis une parfaite connaissance du dossier. Dans ces circonstances, on ne saurait intégralement indemniser les six conférences d’une heure avec l’appelant, ainsi que l’entier du temps consacré à l’étude du dossier en vue de la rédaction de la déclaration d’appel et de l’audience d’appel. Les débours allégués, qui comprennent sept vacations aux EPO à 120 fr. chacune, sont également excessifs, de sorte qu’il y a lieu de retenir un forfait de 50 fr. pour les débours et deux vacations pour les entretiens avec l’appelant. Au vu de ce qui précède, il convient de retenir un total de 18 heures pour l’activité déployée et d’arrêter le montant de l’indemnité de défenseur d’office allouée à Me Robert Ayrton à 3'942 fr., TVA et débours inclus (3'240 fr. + 360 fr. [ 3 vacations] + 50 fr. [débours] + 292 fr. [TVA]). Le prévenu ne sera tenu de rembourser à l’Etat la moitié du montant de</w:t>
      </w:r>
    </w:p>
    <w:p>
      <w:r>
        <w:t>- 59 - l’indemnité en faveur de son défenseur d’office que lorsque sa situation financière le permettra (art. 135 al. 4 let. a CPP). Vu l’issue de la cause, les frais de la procédure d’appel, par 9'592 fr., constitués de l’émolument du présent jugement, par 5’650 fr. (art. 21 al. 1 et 2 TFIP [Tarif des frais de procédure et indemnités en matière pénale du 28 septembre 2010 ; RSV 312.03.1]), et de l’indemnité de défenseur d’office allouée à Me Robert Ayrton, par 3'942 fr., doivent être mis par moitié à la charge de A.A.________, le solde étant laissé à la charge de l’Etat. Dans la mesure où les plaignants, assistés d’un conseil de choix, se sont bornés à conclure au rejet de l’appel et à l’admission du recours joint sans prendre de conclusion tendant à l’allocation de dépens, et qu’ils ne les ont par conséquent pas chiffrés,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