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PE13.010992 vom 29. Juli 2014</w:t>
      </w:r>
    </w:p>
    <w:p>
      <w:r>
        <w:t>VD Tribunal cantonal, 2014-07-29, FR</w:t>
      </w:r>
    </w:p>
    <w:p>
      <w:r>
        <w:rPr>
          <w:b/>
        </w:rPr>
        <w:t xml:space="preserve">Quelle: </w:t>
      </w:r>
      <w:r>
        <w:t>https://mcp.opencaselaw.ch/entscheid/vd_gerichte_PE13.010992</w:t>
      </w:r>
    </w:p>
    <w:p>
      <w:r>
        <w:t>FR: VD_GERICHTE PE13.010992 du 29 juillet 2014</w:t>
      </w:r>
    </w:p>
    <w:p>
      <w:r>
        <w:t>IT: VD_GERICHTE PE13.010992 del 29 luglio 2014</w:t>
      </w:r>
    </w:p>
    <w:p>
      <w:pPr>
        <w:pStyle w:val="Heading2"/>
      </w:pPr>
      <w:r>
        <w:t>Erwägungen</w:t>
      </w:r>
    </w:p>
    <w:p>
      <w:r>
        <w:rPr>
          <w:b/>
        </w:rPr>
        <w:t>E. 7</w:t>
      </w:r>
    </w:p>
    <w:p>
      <w:r>
        <w:t>octobre 2013 que l’appelant n’a eu de cesse d’excuser ses consommations par des éléments extérieurs, tels que déprime, rupture sentimentale ou difficultés professionnelles. En outre, les actes délictueux du 28 mai 2013 ont consisté à commettre des violences à l’encontre de deux personnes, et même si W.________ a bénéficié d’un retrait de plainte concernant les lésions infligées à Z.________, la Cour de céans fait le constat que la propension de l’appelant à s’en prendre à autrui lorsqu’il est alcoolisé est inquiétante. La manière dont il a cassé le nez de la seconde victime, H.________, en atteste également. Certes, l’appelant a entrepris volontairement un suivi thérapeutique et addictologique et a fait des efforts pour trouver un travail, encore qu’il s’agit d’une activité qu’il avait à peine débutée au jour de l’audience d’appel. La Cour de céans estime qu’il s’agit toutefois d’efforts beaucoup trop récents pour contrebalancer le pronostic défavorable déjà posé. Dans ce sens, on relèvera que W.________ a déjà, par le passé, invoqué une période d’abstinence et une prise de conscience, sans que cela ne l’empêche pourtant de retomber dans la délinquance. L’appelant reste donc fragile, et, partant, le risque de récidive demeure important. Dans ces conditions, un avertissement et une prolongation du délai d’épreuve ne sauraient être propres à écarter ce risque, en particulier au vu des antécédents de l’appelant malgré plusieurs</w:t>
      </w:r>
    </w:p>
    <w:p>
      <w:r>
        <w:t>- 14 - sursis octroyés. Il en va de même de l’imposition de règles de conduite puisque l’intéressé n’a pas respecté celles fixées à sa libération conditionnelle. Au vu des éléments qui viennent d’être exposés, c’est à bon droit que le premier juge a révoqué la libération conditionnelle de W.________. Sa décision ne prête pas le flanc à la critique et doit donc être confirmée. Mal fondé, ce premier moyen doit être rejeté. 4. L’appelant conclut ensuite au prononcé d’une peine privative de liberté de trois mois, avec sursis pendant quatre ans. A ce titre, il invoque une diminution de responsabilité aux moments des faits au motif qu’il était fortement alcoolisé. Il fait en outre valoir qu’il y aurait une disproportion entre la sanction et les infractions en causes. 4.1 4.1.1 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w:t>
      </w:r>
    </w:p>
    <w:p>
      <w:r>
        <w:t>- 15 - judiciaires), la réputation, la situation personnelle (état de santé, âge, obligations familiales, situation professionnelle, risque de récidive, etc.), la vulnérabilité face à la peine, de même que le comportement après l’acte et au cours de la procédure pénale (ATF 136 IV 55 ; ATF 134 IV 17 c. 2.1 ; ATF 129 IV 6 c. 6.1). 4.1.2 Selon l’art. 19 al. 2 CP, le juge atténue la peine si, au moment d’agir, l’auteur ne possédait que partiellement la faculté d’apprécier le caractère illicite de son acte ou de se déterminer d’après cette appréciation. Même en présence d’une alcoolémie de 2 g ‰, la pleine capacité de discernement n’est pas exclue ; on considère qu’une concentration de 2 à 3 g ‰ entraîne une présomption de diminution de responsabilité, laquelle peut toutefois être renversée par des indices contraires (ATF 122 IV 49 c. 1b ; Dupuis et al., Petit commentaire du Code pénal, Bâle 2012, n. 17 ad art. 19 CP). 4.1.3 Aux termes de l'art. 41 al. 1 CP, le juge peut prononcer une peine privative de liberté ferme de moins de six mois uniquement si les conditions du sursis à l'exécution de la peine (art. 42 CP) ne sont pas réunies et s'il y a lieu d'admettre que ni une peine pécuniaire (art. 34 CP), ni un travail d'intérêt général (art. 37 CP) ne peuvent être exécutés. En vertu du principe de la proportionnalité, il y a en règle générale lieu, lorsque plusieurs peines entrent en considération et apparaissent sanctionner de manière équivalente la faute, de choisir celle qui restreint le moins sévèrement la liberté personnelle de l'intéressé, respectivement qui le touche le moins durement. La peine pécuniaire et le travail d'intérêt général représentent des atteintes moins importantes et constituent ainsi des peines plus clémentes. Pour choisir la nature de la peine, le juge doit prendre en considération l'opportunité de la sanction déterminée, ses effets sur l'auteur et son milieu social, ainsi que son efficacité préventive (ATF 134 IV 97 c. 4 ; TF 6B_546/2013 du 23 août 2013 c. 1.1).</w:t>
      </w:r>
    </w:p>
    <w:p>
      <w:r>
        <w:t>- 16 - 4.1.4 Selon l’art.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Le sursis est désormais la règle dont on ne peut s'écarter qu'en présence d'un pronostic défavorable. Il prime en cas d'incertitude (ATF 135 IV 180 c. 2.1 ; ATF 134 IV 1 c. 4.2.2 ; TF 6B_348/2014 du 19 juin 2014 c. 2). 4.2 En l’espèce, le pronostic à formuler pour le sursis dans le présent cas n’est pas celui de l’art. 42 al. 2 CP, mais bien celui de l’alinéa 1 de cette disposition dès lors qu’aucune peine antérieure n’atteint le minimum requis par cette disposition – soit de six mois, respectivement de cent huitante jours –, même si la totalité des peines prononcées excède cette durée (cf. Dupuis et al., op. cit., n.19 ad art. 42).</w:t>
      </w:r>
    </w:p>
    <w:p>
      <w:r>
        <w:t>- 17 - Ensuite, on ne saurait se borner à constater que la durée de la peine privative de liberté requise par l’appelant – de trois mois au maximum – est incompatible avec l’octroi du suris (cf. art. 41 CP). De toute manière, le pronostic à poser quant à son comportement futur est clairement défavorable, ce pour les motifs déjà énoncés au sujet de la révocation de la libération conditionnelle (cf. supra, c. 3.2), de sorte que seule une peine ferme peut être prononcée. On rappellera notamment que W.________, en donnant de coups de tête et de poings à Z.________ et à H.________, s’en est pris violemment à leur intégrité corporelle ; l’origine de ses actes apparaît futile (dispute à propos d’un film à regarder) et sa réaction démesurée. S’il a admis les faits et collaboré durant l’enquête, il minimise toutefois ses agissements, les imputant à sa consommation d’alcool. Sur ce point, c’est en vain que l’appelant invoque une responsabilité restreinte. En effet, il n’est pas établi que le taux d’alcoolémie de l’intéressé se situait dans l’échelle de 2 à 3 g ‰ entraînant une présomption de diminution de responsabilité. De plus, même à supposer que son alcoolémie ait été d’environ 2 g ‰ au moment des faits en raison du taux d’alcoolémie relevé de 1,94 g ‰, il y a cependant lieu d’admettre, à l’instar du premier juge, que cette présomption d’incapacité est renversée par des indices contraires, en l’occurrence par les déclarations de témoins desquelles il ressort que W.________ était en possession de ses moyens au moment où il s´en était pris à ses victimes (cf. jgt., c. 5b, p. 14-15 : « il ne bégayait pas, ne cherchait pas ses mots, n’employait pas un mot pour l’autre et ne titubait pas » ; « son discours était cohérent, même si sa réaction était insensée »). Ainsi, l’appréciation du premier juge quant à la culpabilité de l’appelant est adéquate. Les éléments retenus à charge, soit le mépris pour l’intégrité corporelle et la liberté d’autrui, de même que les antécédents et le concours d’infractions, ainsi que ceux à décharge, soit les regrets exprimés, les excuses et le fait d’avoir admis ses actes, sont pertinents et il convient de s’y référer. On ajoutera encore qu’en attribuant</w:t>
      </w:r>
    </w:p>
    <w:p>
      <w:r>
        <w:t>- 18 - « ses rechutes » – ou plutôt sa persistance à consommer alcool et cannabis – sur des facteurs extérieurs comme le décès de sa mère et une rupture sentimentale, l’appelant n’apparaît pas avoir pris la réelle mesure de ses actes et de leur gravité, ce qui tend encore une fois à relativiser sa prise de conscience. Dès lors, au regard des infractions commises, de la culpabilité de l’appelant et de sa situation personnelle, ainsi que compte tenu de la révocation de la libération conditionnelle, la peine privative de liberté d’ensemble de six mois prononcée par le premier juge est adéquate et en juste proportion. Il s’agit d’ailleurs du seul genre de peine pouvant entrer en ligne de compte puisque le prononcé d’une peine pécuniaire ou d’un travail d’intérêt général est exclu pour des motifs de prévention spéciale (cf. TF 6B_196/2012 du 24 janvier 2013 c. 3.3 ; TF 6B_128/2011 du 14 juin 2011 c. 3.4) ; de telles peines ne sauraient en effet être suffisamment dissuasives dès lors que l’appelant a récidivé après avoir été condamné précédemment à des peines privatives de liberté et à une peine pécuniaire. Au surplus, on soulignera que l’exécution d’une peine privative de liberté peut se faire sous le régime de la semi-détention (art. 77b CP), de sorte que l’exécution ne portera pas notablement atteinte à l’avenir de l’appelant. Il résulte de ce qui précède que, mal fondé, ce deuxième moyen doit être rejeté. 5. En définitive, l’appel doit être rejeté et le jugement rendu le 7 mai 2014 par le Tribunal de police de l'arrondissement de l’Est vaudois confirmé. Vu l'issue de la cause, les frais d'appel, par 3'568 fr. 80 doivent être mis à la charge de W.________ (art. 428 al. 1 CPP). Outre l'émolument, qui se monte à 1'830 fr. (art. 21 al. 1 et 2 TFIP [tarif des frais de procédure</w:t>
      </w:r>
    </w:p>
    <w:p>
      <w:r>
        <w:t>- 19 - et indemnités en matière pénale du 28 septembre 2010 ; RSV 312.03.1]), ces frais comprennent l’indemnité allouée au défenseur d’office. S’agissant de l’indemnité de défenseur d’office, la liste d’opérations produite (cf. P. 25) fait état d’un montant de 2'725 fr. 90, TVA et débours inclus pour « 8 heures et 65 centièmes » ainsi que « 199 fr. 80 de débours TVA incluse », ce qui résulte incontestablement d’un calcul erroné. De plus, compte tenu des caractéristiques de la cause, le temps allégué par le défenseur d’office apparaît manifestement excessif, notamment pour la préparation aux débats ; il en va de même pour les débours. Il convient par conséquent de retenir un total de 8 heures d’activité déployée au tarif horaire de 180 fr., une vacation à 120 fr. ainsi que 50 fr. de débours, auxquels on ajoute la TVA. L’indemnité allouée à Me Véronique Fontana est ainsi arrêtée à 1'738 fr. 80, TVA et débours compris (1'440 + 120 + 50 +128.80). W.________ ne sera tenu de rembourser à l’Etat le montant de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