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PE13.010823 vom 7. August 2013</w:t>
      </w:r>
    </w:p>
    <w:p>
      <w:r>
        <w:t>VD Tribunal cantonal, 2013-08-07, FR</w:t>
      </w:r>
    </w:p>
    <w:p>
      <w:r>
        <w:rPr>
          <w:b/>
        </w:rPr>
        <w:t xml:space="preserve">Quelle: </w:t>
      </w:r>
      <w:r>
        <w:t>https://mcp.opencaselaw.ch/entscheid/vd_gerichte_PE13.010823</w:t>
      </w:r>
    </w:p>
    <w:p>
      <w:r>
        <w:t>FR: VD_GERICHTE PE13.010823 du 7 août 2013</w:t>
      </w:r>
    </w:p>
    <w:p>
      <w:r>
        <w:t>IT: VD_GERICHTE PE13.010823 del 7 agosto 2013</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b) aa)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w:t>
      </w:r>
    </w:p>
    <w:p>
      <w:r>
        <w:t>- 5 - [éd.], Basler Kommentar, Schweizerische Strafprozessordnung, Jugendstrafprozessordnung, Bâle 2011, n. 21 ad art. 115 CPP ; ATF 138 IV 258 c. 2.2 et 2.3 ; TF 1B_553/2012 du 12 novembre 2012 c. 1.2.2 ; TF 1B_678/2011 du 30 janvier 2012 c. 2.1 ; TF 1B_230/2011 du 22 juillet 2011 c. 1.3.2 ; TF 1B_201/2011 du 9 juin 2011 c. 2.1 ; TF 6B_557/2011 du 9 mars 2011 c. 5.1, cités par Garbarski, Le lésé et la partie plaignante en procédure pénale : état de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Cette définition a pour corollaire que l’existence d’’un préjudice de nature civile (par exemple sous la forme d’un dommage patrimonial) est dénuée de pertinence lorsqu’il s’agit de déterminer si une personne revêt ou non la qualité de lésé selon l’art. 115 al. 1 CPP (Garbarski, op. cit., p. 124, et la référence citée). Le Tribunal fédéral a jugé récemment que le statut de lésé ne dépendait pas de la prise effective de conclusions civiles, le législateur conférant à la partie plaignante le pouvoir de se constituer partie à seule fin de soutenir l’acion pénale (cf. art. 119 al. 2 let. a CPP ; ATF 139 IV 89 c. 2.2 ; ATF 139 IV 78 c. 3.3.3). Un dommage n’est donc pas nécessaire pour être lésé au sens de l’art. 115 CPP, l’atteinte directe selon cette disposition se rapportant à la violation du droit pénal et non à un dommage (ATF 139 IV 78 c. 3.3.3). Lorsque l’infraction qui entre en ligne de compte protège au premier plan un intérêt collectif, les particuliers ne sont en régle générale pas considérés comme lésés à moins que leurs intérêts privés aient été effectivement touchés par les actes en cause de telle sorte que l’atteinte subie, qui doit présenter une certaine gravité, apparaît comme la conséquence directe de l’acte dénoncé (ATF 138 IV 258 c. 2.3 ; TF 489/2011 du 24 janvier 2012 c. 2.1). Ainsi, sauf à pouvoir démontrer</w:t>
      </w:r>
    </w:p>
    <w:p>
      <w:r>
        <w:t>- 6 - concrètement en quoi cette condition est remplie, la personne privée qui dénonce des infractions qui protègent d’abord des intérêts collectifs, ne saurait se voir reconnaître la qualité de lésé ni, partant, celle de partie plaingnante à la procédure (TF 1B_489/2011 du 24 janvier 2012 c. 2.1). bb) Infraction contre l’administration de la justice, le faux témognage (art. 307 CP) tend à protéger celle-ci dans sa recherche de la vérité (Donatsch/Wohlers, Strafrecht IV, 2011, 4e éd., pp. 505-506 ; Corboz, Les infractions en droit suisse, vol. II, 2010, n. 1 ad art. 307 CP, p. 663 ; Cassani, Commentaire du droit pénal suisse, vol. 9, 1996, n. 1 ad art. 307 CP, p. 112). Indirectement, la disposition protège également les intérêts privés des personnes en cause, puisqu’il faut aussi considérer comme lésé celui qui subit un désavantage causé par la commission de l’infraction (ATF 123 IV 184 c. c). c) En l’espèce, il convient de trancher la question de savoir si les recourants ont subi, du fait d’une déposition prétendument contraire à la réalité de Q.________, une atteinte directe et effective à leurs intérêts privés, en particulier à leur patrimoine. Les intéressés se contentent à cet égard d’invoquer l’arrêt de la Chambre des recours pénale du 2 mars 2011, qui, considérant qu’ils avaient rendu vraisemblable que les agissements reprochés à T.________ lors de la confection du testament de 2004, avaient pu leur causer un dommage patrimonial, leur a reconnu la qualité de lésés au sens de l’art. 115 al. 1 CPP. Ils ne voient donc pas pourquoi cette qualité leur serait déniée en ce qui concerne les prétendues fausses déclarations qu’en qualité de témoin, l’ancienne gouvernante de L.________ aurait faites dans l’enquête dirigée contre T.________. Cet arrêt ne leur est toutefois d’aucun secours. Il est vrai qu’en vertu du testament de 2004, N.________, au lieu d’être institué héritier, ne dispose plus que d’une action tendant à la délivrance d’un legs et que Z.________ n’a plus aucune vocation succesorale. On ne voit cependant pas quel dommage supplémentaire leur aurait causé la déposition incriminée, à moins de retenir une forme de coaction de la part de Q.________, ce qui n’est pas soutenable. En admettant que les recourants aient un intérêt juridiquement protégé à faire condamner le témoin, pour affermir leur</w:t>
      </w:r>
    </w:p>
    <w:p>
      <w:r>
        <w:t>- 7 - position dans l’enquête pénale dirigée contre T.________, l’atteinte à leurs intérêts ne serait jamais qu’indirecte. Certes, comme l’exposent les recourants, le fait qu’ils n’ont pas élevé de prétentions civiles ne s’oppose pas à ce qu’ils puissent être reconnus commes lésés. En outre, en retenant qu’au stade actuel de l’enquête dirigée contre T.________, l’existence d’un dommage direct n’est qu’hypothétique, le procureur suggère que ledit dommage n’est pas encore établi, ce qui n’est pas pertinent, puisqu’il suffit de le rendre vraisemblable. Cela ne change cependant rien au fait que la condition du dommage immédiat n’est pas réalisée en l’espèce. Les recourants ne semblent pas prétendre que le témoignage incriminé serait de nature à influer sur le procès pendant devant la Cour civile. En admettant que tel soit le cas, il faudrait constater que ce litige n’étant pas tranché, on ignore si le témoignage litigieux, fait dans une procédure pénale, peut influer sur le jugement civil à rendre, si bien qu’aucune atteinte patrimoniale n’est à ce stade établie ni rendue vraisemblable. La situation à cet égard n’est pas sans présenter des analogies avec l’affaire jugée le 24 janvier 2012 par le Tribunal fédéral dans la cause 1B_489/2011 concernant la qualité de lésé en rapport avec l’infraction de fausse déclaration d’une partie en justice (art. 306 CP). Les recourants font valoir que le faux témoignage, infraction de mise en danger, consommée en l’absence de lésion d’un bien juridiquement protégé, ne fait pas obstacle en soi à l’admission de leur qualité de lésé au sens de l’art. 115 al. 1 CPP. Le Tribunal fédéral a jugé que la personne qui, lors d’un accident de la route, a subi un dommage exclusivement matériel, n’était pas touchée directement dans ses droits au sens de l’art. 115 al. 1 CPP, dès lors que l’art. 90 al. 1 LCR protège directement la fluidité du trafic sur les routes publiques, les intérêts individuels, comme la vie, l’intégrité corporelle ou la propriété, n’étant qu’indirectement protégés (ATF 138 IV 258 c. 3 et 4). Dans le cas présent, et par analogie avec ce qui vient d’être exposé, force est de constater que les recourants ne sont pas titulaires du bien juridiquement protégé par l’infraction de faux témoignage, c’est-à-dire l’administration de la justice</w:t>
      </w:r>
    </w:p>
    <w:p>
      <w:r>
        <w:t>- 8 - dans sa recherche de la vérité, mais ne sont qu’indirectement touchés par la déposition prétendument contraire à la réalité de Q.________. d) Il résulte de ce qui précède que c’est à bon droit que le Procureur a dénié aux recourants la qualité de parties plaignantes à la présente cause et, partant, a refusé leur demande d’assistance judiciaire gratuite.</w:t>
      </w:r>
    </w:p>
    <w:p>
      <w:r>
        <w:rPr>
          <w:b/>
        </w:rPr>
        <w:t>E. 3</w:t>
      </w:r>
    </w:p>
    <w:p>
      <w:r>
        <w:t>En définitive, le recours, manifestement mal fondé, doit être rejeté sans autres échanges d’écritures (art. 390 al.2 CPP), et l’ordonnance confirmée. Les frais de la procédure de recours, constitués en l’espèce du seul émolument d'arrêt, par 880 fr. (art. 20 al. 1 TFJP [tarif des frais judiciaires pénaux; RSV 312.03.1]), seront mis à la charge des recourants, par moitié chacun, soit 440 fr., et solidairement entre eux (art. 418 al. 2 et 428 al. 1 CPP). La requête des recourants tendant à l’octroi de l’assistance judiciaire gratuite et à la désignation d'un conseil juridique gratuit pour la procédure de recours doit être rejetée, les conclusions civiles déduites de l'infraction qu’ils pourraient faire valoir par adhésion à la procédure pénale (cf. art. 122 al. 1 CPP) étant vouées à l'échec (cf. art. 136 al. 1 let. b CPP). Par ces motifs, la Chambre des recours pénale, statuant à huis clos, prononce : I. Le recours est rejeté. II. L’ordonnance du 10 juin 2013 est confirmée. III. La requête de Z.________ et de N.________ tendant à l'octroi de l'assistance judiciaire gratuite et à la désignation d'un conseil juridique gratuit pour la procédure de recours est rejetée.</w:t>
      </w:r>
    </w:p>
    <w:p>
      <w:r>
        <w:t>- 9 - IV. Les frais d’arrêt, par 880 fr. (huit cent huitante francs), sont mis par moitié chacun, soit 440 fr. (quatre cent quarante francs), à la charge de Z.________ et de N.________, solidairement entre eux. V. Le présent arrêt est exécutoire. Le président : Le greffier : Du L'arrêt qui précède, dont la rédaction a été approuvée à huis clos, est notifié, par l'envoi d'une copie complète, à : - M. Philippe Reymond, avocat (pour Z.________ et N.________),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