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PE13.010702 vom 18. September 2014</w:t>
      </w:r>
    </w:p>
    <w:p>
      <w:r>
        <w:t>VD Tribunal cantonal, 2014-09-18, FR</w:t>
      </w:r>
    </w:p>
    <w:p>
      <w:r>
        <w:rPr>
          <w:b/>
        </w:rPr>
        <w:t xml:space="preserve">Quelle: </w:t>
      </w:r>
      <w:r>
        <w:t>https://mcp.opencaselaw.ch/entscheid/vd_gerichte_PE13.010702</w:t>
      </w:r>
    </w:p>
    <w:p>
      <w:r>
        <w:t>FR: VD_GERICHTE PE13.010702 du 18 septembre 2014</w:t>
      </w:r>
    </w:p>
    <w:p>
      <w:r>
        <w:t>IT: VD_GERICHTE PE13.010702 del 18 settembre 2014</w:t>
      </w:r>
    </w:p>
    <w:p>
      <w:pPr>
        <w:pStyle w:val="Heading2"/>
      </w:pPr>
      <w:r>
        <w:t>Erwägungen</w:t>
      </w:r>
    </w:p>
    <w:p>
      <w:r>
        <w:rPr>
          <w:b/>
        </w:rPr>
        <w:t>E. 23</w:t>
      </w:r>
    </w:p>
    <w:p>
      <w:r>
        <w:t>5 plaquettes de 10 Clomifene 50 mg</w:t>
      </w:r>
    </w:p>
    <w:p>
      <w:r>
        <w:rPr>
          <w:b/>
        </w:rPr>
        <w:t>E. 24</w:t>
      </w:r>
    </w:p>
    <w:p>
      <w:r>
        <w:t>1 boîte de Somatropin 191 AA 100IU 20IU/VIALx5</w:t>
      </w:r>
    </w:p>
    <w:p>
      <w:r>
        <w:rPr>
          <w:b/>
        </w:rPr>
        <w:t>E. 25</w:t>
      </w:r>
    </w:p>
    <w:p>
      <w:r>
        <w:t>12 flacons de Somatropin 191 AA 100IU 20IU</w:t>
      </w:r>
    </w:p>
    <w:p>
      <w:r>
        <w:t>- 14 - Médicaments contenant de l'éphédrine :</w:t>
      </w:r>
    </w:p>
    <w:p>
      <w:r>
        <w:rPr>
          <w:b/>
        </w:rPr>
        <w:t>E. 26</w:t>
      </w:r>
    </w:p>
    <w:p>
      <w:r>
        <w:t>2 boîtes Epherit 20 db – Efedrin-Hidroklorid</w:t>
      </w:r>
    </w:p>
    <w:p>
      <w:r>
        <w:rPr>
          <w:b/>
        </w:rPr>
        <w:t>E. 27</w:t>
      </w:r>
    </w:p>
    <w:p>
      <w:r>
        <w:t>1 boîte de 20 comprimés Epherit 50 mg</w:t>
      </w:r>
    </w:p>
    <w:p>
      <w:r>
        <w:rPr>
          <w:b/>
        </w:rPr>
        <w:t>E. 28</w:t>
      </w:r>
    </w:p>
    <w:p>
      <w:r>
        <w:t>1 boîte de 20 db Epherit 50.0 mg contenant 13 pastilles Ces produits étaient essentiellement destinés à être revendus. Ils ont été saisis le 31 mai 2013 et séquestrés. Ils se trouvaient au domicile du prévenu et dans le véhicule de celui-ci immatriculé [...]. 2.12 A [...], entre fin janvier et fin février 2013, E.E.________ a acquis, par l'intermédiaire de H.________ (déféré séparément), une arme de poing ERMA-WERKE, n° EP552S, 22LR, et une boîte de munitions pour 450 francs. Cette arme et ces munitions ont été saisies par la police le 31 mai 2013 au domicile du prévenu à [...] et transmises au Bureau des armes de la police cantonale. 2.13 A [...], en été 2012, à une date antérieure au 11 août 2012, E.E.________, qui savait que son permis de conduire lui avait été retiré pour la période courant entre le 11 août 2012 et le 5 septembre 2013, s'est rendu au Service des automobiles et de la navigation en se faisant passer pour son frère F.E.________ et y a annoncé faussement avoir perdu son permis de conduire. Il a ainsi obtenu un duplicata du permis de conduire de son frère muni de sa propre photo. Le prévenu a agi de la sorte dans le but de pouvoir se légitimer lors de contrôles de circulation en se faisant passer pour son frère. Le permis de conduire en question a été saisi le</w:t>
      </w:r>
    </w:p>
    <w:p>
      <w:r>
        <w:rPr>
          <w:b/>
        </w:rPr>
        <w:t>E. 31</w:t>
      </w:r>
    </w:p>
    <w:p>
      <w:r>
        <w:t>mai 2013, en urgence, un mandat oral afin d’examiner le contenu d’un box duquel émanait une forte odeur de marijuana (cf. P. 4, p. 7 ; PV des opérations, p. 2). Le locataire de ce box était la société U.________Sàrl, représentée par E.E.________. La perquisition a permis la découverte de nombreux produits stupéfiants et du matériel de conditionnement (P. 4). Selon les explications de la Procureure en charge du dossier, un mandat de perquisition écrit a été rendu le même jour, comme cela ressort d’ailleurs du procès-verbal des opérations (p. 2) et de la pièce 29/1, mais il ne se trouve pas au dossier. Il est vrai que deux autres mandats de perquisition écrits ont été rendus le 31 mai 2013. Le premier concerne le frère de l’appelant, F.E.________, (cf. P. 29/2) et le second E.E.________ lui-même (cf. P. 31/2). Il n’est cependant pas possible pour l’appelant de soutenir que le mandat écrit délivré après la perquisition litigieuse par le Procureur visait le</w:t>
      </w:r>
    </w:p>
    <w:p>
      <w:r>
        <w:t>- 18 - domicile de F.E.________, individu qui n’a aucun lien avec la société locataire du box où la drogue a été retrouvée. Partant, un mandat oral a été délivré le 31 mai 2013 pour la perquisition du box de la société U.________Sàrl. Qu’il ait été motivé ou non ne suffit pas à rendre la perquisition illicite car, au vu de ce qui précède, celle-ci a constitué une mesure juste et proportionnée aux besoins de l’instruction (CREP 29 août 2014/626, JdT 2014 III 201). On ne discerne donc aucune violation des art. 196 ss CPP et les preuves ainsi obtenues sont exploitables. 4. E.E.________ invoque une constatation incomplète ou erronée des faits. 4.1 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Il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w:t>
      </w:r>
    </w:p>
    <w:p>
      <w:r>
        <w:t>- 19 - 6B_831/2009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 2c; TF 6B_831/2009 précité, c. 2.2.2). 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il peut fonder une condamnation sur un faisceau d’indices; en cas de versions contradictoires, il doit déterminer laquelle est la plus crédible. En d’autres termes, ce n’est ni le genre ni le nombre des preuves qui est déterminant, mais leur force de persuasion (Verniory, in: Kuhn/Jeanneret [éd.], Commentaire romand, Code de procédure pénale suisse, Bâle 2011, n. 34 ad art. 10 CPP et les références citées). 4.2 L’appelant conteste le prix unitaire de vente des pilules d’ecstasy retenu par les premiers juges. En l’espèce, les déclarations de l’appelant ont été fluctuantes. L’intéressé a expliqué avoir vendu les pilules d’ecstasy à 4 fr. 50 la pièce (PV aud. 1, p. 4 ; PV aud. 2, p. 2), puis à 6 fr. la pièce (PV aud. 12, p. 6 ; PV aud. 15, p. 6). Le témoin Z.________ a quant à lui affirmé avoir acheté auprès de l’appelant la pilule d’ecstasy au prix de 20 francs (PV aud. 7, p. 3). L’appelant ayant agi par appât du gain, le prix unitaire de 10 fr. retenu par les premiers juges, correspondant au prix du marché, apparaît adéquat. Ce grief doit par conséquent être rejeté.</w:t>
      </w:r>
    </w:p>
    <w:p>
      <w:r>
        <w:t>- 20 - 4.3 L’appelant reproche aux premiers juges d’avoir écarté sans motif le témoignage de Z.________. Lors de sa première audition, ce témoin a déclaré avoir acheté 40 grammes de cocaïne à l’appelant, en plusieurs fois (PV aud. 7). Aux débats de première instance, il est toutefois revenu sur ses propos en admettant l’achat de seulement 10 grammes (jgt., p. 6). Z.________ n’a pas formé opposition à l’ordonnance pénale le condamnant pour l’achat de 40 grammes de cocaïne. De plus, l’appelant avait tout le loisir de prendre contact avec ce témoin puisqu’il est sous le régime de l’exécution anticipée de peines depuis le 15 avril 2014, si bien que ces courriers n’étaient plus surveillés et qu’il était libre de téléphoner. C’est donc bien la première version de ce témoin qu’il y a lieu de retenir. Ce moyen doit également être rejeté. 4.4 L’appelant reproche aux premiers juges d’avoir écarté sans réel motif la déclaration de prêt produite à l’audience de jugement s’agissant du cas 2.10. Il ressort des auditions de l’appelant que celui-ci a prêté la somme de 10'000 fr. à G.________ (cf. notamment PV aud. 12, p. 12). A aucun moment, l’appelant a prétendu avoir emprunté cette somme à son frère. Il avait bien déclaré que les 10'000 fr. lui avaient été prêtés par un ami (PV aud. 12, p. 12), avant d’admettre que cet argent provenait de son trafic de stupéfiants (PV aud. 15, p. 7). La production d’une déclaration de prêt de son frère (P. 139) juste avant la clôture de la procédure probatoire apparaît comme un ultime moyen de se disculper. Cette « preuve » disculpatoire tardive est invraisemblable et en contradiction avec les aveux mêmes de l’appelant. C’est donc à bon droit que cette dernière version n’a pas été retenue par les premiers juges.</w:t>
      </w:r>
    </w:p>
    <w:p>
      <w:r>
        <w:t>- 21 - 4.5 L’appelant critique le fait que les premiers juges s’en soient tenus aux chiffres de l’accusation, en retenant un bénéfice de 120'000 fr. alors qu’il l’avait estimé à 30'000 francs. Il est vrai que le jugement est succinct sur cette question. Toutefois, il apparaît à l’examen du dossier que le montant de 120'000 fr. était bien envisagé comme chiffre d’affaires réalisé et non bénéfice (cf. acte d’accusation du 20 mai 2014). Il s’agit selon toute vraisemblance d’une erreur de plume du Tribunal correctionnel. C’est effectivement bien un bénéfice de 30'000 fr. qui doit être retenu à charge de l’appelant, bénéfice qu’il a du reste admis aux débats de première instance (cf. jgt., p. 4). Quoi qu’il en soit, contrairement à ce qu’affirme l’appelant, la détermination du bénéfice n’a pas une grande importance dans le cas d’espèce. En effet, la circonstance aggravante tirée de la quantité de drogue vendue est de toute manière réalisée, peu importe donc que celle du métier le soit aussi. De plus, la loi punit de la même peine la vente ou l’offre de stupéfiants. En effet, le bénéfice ou le chiffre d’affaires réalisé ne fait pas à proprement parler de l’incrimination pénale, dès lors que la loi punit sans distinction le comportement de l’auteur qui met sur le marché une substance illicite. Enfin, la créance compensatrice fixée par les premiers juges a été considérablement réduite par rapport au chiffre d’affaires réalisé. Ce moyen est par conséquent infondé. 5. E.E.________ conteste la peine qui lui a été infligée, en faisant valoir qu’elle est trop sévère. Il soutient également qu’une peine complémentaire ne pouvait être prononcée. 5.1 Selon l’art. 47 CP, le juge fixe la peine d’après la culpabilité de l’auteur. Il prend en considération les antécédents et la situation personnelle de ce dernier ainsi que l’effet de la peine sur son avenir (al. 1).</w:t>
      </w:r>
    </w:p>
    <w:p>
      <w:r>
        <w:t>- 22 -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129 IV 6 c. 6.1). 5.2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Une peine additionnelle ne peut ainsi être infligée que lorsque la nouvelle peine et celle qui a déjà été prononcée sont du même genre. Des peines d'un genre différent doivent en revanche être infligées cumulativement car le principe d'absorption n'est alors pas applicable (TF 6B_1082/2010 du 18 juillet 2011 c. 2.2 et les références citées).</w:t>
      </w:r>
    </w:p>
    <w:p>
      <w:r>
        <w:t>- 23 - 5.3 En l’espèce, la culpabilité d’E.E.________ est lourde. Il est apparu comme un commerçant redoutablement organisé opérant dans le trafic de plusieurs sortes de produits stupéfiants, endurci, doué de conscience et de volonté. Il n’a admis l’incrimination pénale qu’au fur et à mesure que les preuves lui étaient apportées par les enquêteurs. Il a agi uniquement par appât du gain, alors qu’il avait par ailleurs créé sa propre entreprise active dans la rénovation d’immeubles. Il n’a au surplus exprimé aucun regret. A charge, il sera encore tenu compte du concours d’infractions et des antécédents, dont le nombre est inquiétant, dès lors que l’appelant n’a que 26 ans. L’activité délictueuse de l’appelant s’étend du 21 juin 2012 au 5 septembre 2013. Conformément à l’art. 49 al. 2 CP, une peine complémentaire à celle du 24 janvier 2012 (50 jours-amende à 30 fr. le jour et 450 fr. d’amende pour infraction grave à la Loi sur la circulation routière et contravention à la LStup) ne pouvait être prononcée, les peines n’étant pas de même genre. Le chiffre II du dispositif du jugement attaqué sera par conséquent rectifié d’office en ce sens. On ne peut toutefois reprocher aux premiers juges d’avoir violé l’art. 47 CP en ayant tenu compte de la peine pécuniaire prononcée le 24 janvier 2012, qui ne pouvait pas être complémentaire. C’est d’ailleurs favorable à l’appelant. Compte tenu de l’ensemble des éléments retenus à charge d’E.E.________, la peine privative de liberté de 3 ans, 10 mois et 10 jours prononcée par les premiers juges est adéquate et doit être confirmée. L'amende de 1’500 fr. réprimant les contraventions est adéquate et peut également être confirmée. Le pronostic quant au comportement futur de l’appelant est clairement défavorable, de sorte que ce dernier ne saurait bénéficier du sursis. 6. Dans son appel joint, le Ministère public reproche aux premiers juges d’avoir violé l’art. 70 al. 1 CP.</w:t>
      </w:r>
    </w:p>
    <w:p>
      <w:r>
        <w:t>- 24 - 6.1 Aux termes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6.2 Dès lors que l’enquête a permis de saisir la somme de 40'080 fr. issue du trafic de drogue, les premiers juges ne pouvaient pas, sans violer l’art. 70 al. 1 CP, ordonner que la somme confisquée soit dévolue à l’Etat en remboursement des frais de justice et de l’amende. Cela reviendrait en effet à enrichir l’appelant alors que le but poursuivi par la confiscation de valeurs patrimoniales est d’ôter toute rentabilité à l’infraction. L’appel joint doit par conséquent être admis et le jugement modifié en ce sens. Il s’ensuit aussi qu’une créance compensatrice ne pouvait être exigée d’E.E.________ puisque l’Etat dispose de valeurs patrimoniales à confisquer en vertu de l’art. 71 al. 1 CP. Par conséquent, le chiffre VI du dispositif devra être supprimé. 7. Comme le relève à juste titre le Ministère public dans son appel joint, l’arme de poing ERMA-WERKE, n° EP552S, 22LR, et la boîte de munitions saisies le 31 mai 2013 et transmises au Bureau des armes de la Police cantonale, objet d’un infraction à la LArm, doivent être confisquées et détruites en application de l’art. 69 CP. Le chiffre IV du dispositif du jugement attaqué sera modifié dans le sens qui précède. 8. Au vu de ce qui précède, l’appel d’E.E.________ est rejeté et l’appel joint du Ministère public admis. Le jugement du Tribunal correctionnel de l'arrondissement de Lausanne du 18 septembre 2014 est modifié dans le sens des considérants.</w:t>
      </w:r>
    </w:p>
    <w:p>
      <w:r>
        <w:t>- 25 - Vu l'issue de la cause, les frais d'appel doivent être mis à la charge d’E.E.________ (art. 428 al. 1 CPP). Outre l'émolument, qui se monte à 2’490 fr. (art. 21 al. 1 et 2 TFIP [Tarif des frais de procédure et indemnités en matière pénale du 28 septembre 2010; RSV 312.03.1]), ces frais comprennent l’indemnité allouée à son défenseur d’office. S’agissant de l’indemnité d’office, Me Raphaël Brochellaz a produit une liste d’opérations faisant état de 13 heures et 30 minutes d’activité (P. 156). Compte tenu de la nature de la cause, de la connaissance du dossier acquise en première instance et des opérations nécessaires à la défense des intérêts de son client, le temps consacré à la présente procédure est trop élevé. Tout bien considéré, il sera tenu compte de 11 heures d’activité. En outre, seules deux vacations seront comptabilisées, un seul entretien avec le prévenu étant justifié pour la préparation de l’audience d’appel. C’est donc une indemnité de 2’423 fr. 50, correspondant à 11 heures à 180 fr., deux vacations à 120 fr. et 24 fr. de débours, plus la TVA, qui doit être allouée au défenseur d’office de l’appelant pour la procédure d’appel. E.E.________ ne sera tenu de rembourser à l’Etat le montant de l’indemnité en faveur de son conseil d’office que lorsque sa situation financière le permettra. 9. Le dispositif communiqué après l’audience d’appel est entaché d’une erreur manifeste au chiffre VII du dispositif du jugement attaqué en tant qu’il n’a pas été tenu compte de l’arrêt rendu le 31 octobre 2014 par le Juge de la Chambre des recours pénale (cf. consid. A ci-dessus). En application de l’art. 83 CPP, il sera rectifié d’office.</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