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PE13.010055 vom 1. September 2014</w:t>
      </w:r>
    </w:p>
    <w:p>
      <w:r>
        <w:t>VD Tribunal cantonal, 2014-09-01, FR</w:t>
      </w:r>
    </w:p>
    <w:p>
      <w:r>
        <w:rPr>
          <w:b/>
        </w:rPr>
        <w:t xml:space="preserve">Quelle: </w:t>
      </w:r>
      <w:r>
        <w:t>https://mcp.opencaselaw.ch/entscheid/vd_gerichte_PE13.010055</w:t>
      </w:r>
    </w:p>
    <w:p>
      <w:r>
        <w:t>FR: VD_GERICHTE PE13.010055 du 1 septembre 2014</w:t>
      </w:r>
    </w:p>
    <w:p>
      <w:r>
        <w:t>IT: VD_GERICHTE PE13.010055 del 1 settembre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 doit être rejeté sans autres échanges d’écritures (art. 390 al. 2 CPP) et l’ordonnance attaquée confirmée.</w:t>
      </w:r>
    </w:p>
    <w:p>
      <w:r>
        <w:rPr>
          <w:b/>
        </w:rPr>
        <w:t>E. 3.1</w:t>
      </w:r>
    </w:p>
    <w:p>
      <w:r>
        <w:t>Les frais de la procédure de recours, constitués en l’espèce de l’émolument d'arrêt, par 770 fr. (art. 20 al. 1 TFIP [tarif des frais de procédure et indemnités en matière pénale du 28 septembre 2010; RSV 312.03.1]), et des frais imputables à la défense d’office (art. 422 al. 1 et 2</w:t>
      </w:r>
    </w:p>
    <w:p>
      <w:r>
        <w:t>- 7 - let. a CPP), fixés à 360 fr. plus la TVA par 28 fr. 80, soit au total 388 fr. 80, seront mis à la charge de la recourante, qui succombe (art. 428 al. 1 CPP). Le remboursement à l’Etat de l’indemnité allouée au défenseur d’office de la recourante ne sera toutefois exigible que pour autant que la situation économique de cette dernière se soit améliorée (art. 135 al. 4 CPP).</w:t>
      </w:r>
    </w:p>
    <w:p>
      <w:r>
        <w:rPr>
          <w:b/>
        </w:rPr>
        <w:t>E. 3.2</w:t>
      </w:r>
    </w:p>
    <w:p>
      <w:r>
        <w:t>S’agissant des dépens réclamés par les intimées C.W.________ et B.W.________ qui, concluant au rejet du recours, obtiennent gain de cause, il appartiendra le cas échéant à ces dernières d’adresser à la fin de la procédure – pour autant que les conditions d’une indemnité selon l’art. 433 al. 1 CPP soient alors remplies – leurs prétentions à l’autorité pénale compétente selon l’art. 433 al. 2 CPP (CREP 16 avril 2013/279 c. 4 et les références citées). Par ces motifs, la Chambre des recours pénale prononce : I. Le recours est rejeté. II. L’ordonnance du 25 juillet 2014 est confirmée. III. L'indemnité allouée au défenseur d'office d’A.________ est fixée à 388 fr. 80 (trois cent huitante-huit francs et huitante centimes).</w:t>
      </w:r>
    </w:p>
    <w:p>
      <w:r>
        <w:t>- 8 - IV. Les frais d'arrêt, par 770 fr. (sept cent septante francs), ainsi que l'indemnité due au défenseur d'office d’A.________, par 388 fr. 80 (trois cent huitante-huit francs et huitante centimes), sont mis à la charge de cette dernière. V. Le remboursement à l'Etat de l'indemnité allouée au chiffre III ci-dessus sera exigible pour autant que la situation économique d’A.________ se soit améliorée. VI. Le présent arrêt est exécutoire. Le vice-président : Le greffier : Du L'arrêt qui précède, dont la rédaction a été approuvée à huis clos, est notifié, par l'envoi d'une copie complète, à : - M. Jacques Piller, avocat (pour A.________), - M. Samuel Pahud, avocat (pour C.W.________ et B.W.________), - M. I.________, - Ministère public central, et communiqué à : - M. le Procureur de l’arrondissement du Nord vaudois, par l’envoi de photocopies.</w:t>
      </w:r>
    </w:p>
    <w:p>
      <w:r>
        <w:t>- 9 - Le présent arrêt peut faire l'objet d'un recours en matière pénale devant le Tribunal fédéral au sens des art. 78 ss LTF (loi du 17 juin 2005 sur le Tribunal fédéral – RS 173.110. Ce recours doit être déposé devant le Tribunal fédéral dans les trente jours qui suivent la notification de l'expédition complète (art. 100 al. 1 LTF).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