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PE13.008615 vom 3. Mai 2013</w:t>
      </w:r>
    </w:p>
    <w:p>
      <w:r>
        <w:t>VD Tribunal cantonal, 2013-05-03, FR</w:t>
      </w:r>
    </w:p>
    <w:p>
      <w:r>
        <w:rPr>
          <w:b/>
        </w:rPr>
        <w:t xml:space="preserve">Quelle: </w:t>
      </w:r>
      <w:r>
        <w:t>https://mcp.opencaselaw.ch/entscheid/vd_gerichte_PE13.008615</w:t>
      </w:r>
    </w:p>
    <w:p>
      <w:r>
        <w:t>FR: VD_GERICHTE PE13.008615 du 3 mai 2013</w:t>
      </w:r>
    </w:p>
    <w:p>
      <w:r>
        <w:t>IT: VD_GERICHTE PE13.008615 del 3 maggio 2013</w:t>
      </w:r>
    </w:p>
    <w:p>
      <w:pPr>
        <w:pStyle w:val="Heading2"/>
      </w:pPr>
      <w:r>
        <w:t>Erwägungen</w:t>
      </w:r>
    </w:p>
    <w:p>
      <w:r>
        <w:rPr>
          <w:b/>
        </w:rPr>
        <w:t>E. 1</w:t>
      </w:r>
    </w:p>
    <w:p>
      <w:r>
        <w:t>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Ces trois motifs ne sont pas cumulatifs.</w:t>
      </w:r>
    </w:p>
    <w:p>
      <w:r>
        <w:rPr>
          <w:b/>
        </w:rPr>
        <w:t>E. 3</w:t>
      </w:r>
    </w:p>
    <w:p>
      <w:r>
        <w:t>a) La mise en détention provisoire n’est possible que s’il existe à l’égard de l’auteur présumé, et préalablement à toute autre cause, de forts soupçons de culpabilité d’avoir commis un crime ou un délit (TF 1B_576/2012 du 19 octobre 2012 c. 4.1; ATF 137 IV 122 c. 3.2; Schmocker, in Kuhn/Jeanneret (éd.), Commentaire romand, Code de procédure pénale suisse, Bâle 2011, nn. 7 ss ad art. 221 CPP). b) En l’espèce, le recourant a admis les faits lors de l’audience qui s’est tenue devant le Tribunal des mesures de contrainte le 26 juin 2013. La condition de l’existence de sérieux soupçons de culpabilité est ainsi réalisée.</w:t>
      </w:r>
    </w:p>
    <w:p>
      <w:r>
        <w:rPr>
          <w:b/>
        </w:rPr>
        <w:t>E. 4</w:t>
      </w:r>
    </w:p>
    <w:p>
      <w:r>
        <w:t>a) Le recourant soutient que la procédure d’instruction est terminée et que le risque de fuite ne saurait justifier à lui seul le maintien en détention provisoire.</w:t>
      </w:r>
    </w:p>
    <w:p>
      <w:r>
        <w:t>- 5 - b) Selon la jurisprudence, le risque de fuite ne peut pas s'apprécier sur la seule base de la gravité de l'infraction (ATF 125 I 60 c. 3a). Ce risque doit s'analyser en fonction d'un ensemble de critères tels que le caractère de l'intéressé, sa moralité, ses ressources, ses liens avec l'Etat qui le poursuit, ainsi que ses contacts à l'étranger (ATF 117 Ia 69 c. 4). Au demeurant, la détention provisoire a pour but d’assurer la présence du prévenu durant la procédure d’instruction ainsi qu’au procès, mais également d’assurer que la peine concrètement prononcée soit effectivement exécutée (Schmocker, op. cit., n. 11 ad art. 221 CPP). c) En l’espèce, l’intéressé a un statut de « touriste/visiteur ». De nationalité roumaine, il réside en Roumanie où il dit avoir sa famille. Il n’a aucune attache en Suisse. A cela s’ajoute encore le fait que tant lors de l’audience devant le Tribunal de mesures de contrainte que dans son recours, Z.________ a clairement affirmé sa volonté de quitter le territoire suisse en cas de libération. Il y a dès lors tout lieu de craindre que s’il devait être relaxé, il se soustraie à la procédure et, partant, à la sanction à laquelle il est exposé. Le maintien en détention provisoire du recourant, pour le motif du risque de fuite, est par conséquent justifié.</w:t>
      </w:r>
    </w:p>
    <w:p>
      <w:r>
        <w:rPr>
          <w:b/>
        </w:rPr>
        <w:t>E. 5</w:t>
      </w:r>
    </w:p>
    <w:p>
      <w:r>
        <w:t>Les conditions de la détention provisoire étant alternatives, il n’y a pas lieu d’examiner les risques de collusion et de réitération, dans la mesure ou les conditions du maintien en détention sont réalisées par le risque de fuite.</w:t>
      </w:r>
    </w:p>
    <w:p>
      <w:r>
        <w:rPr>
          <w:b/>
        </w:rPr>
        <w:t>E. 6</w:t>
      </w:r>
    </w:p>
    <w:p>
      <w:r>
        <w:t>a) Le prévenu se prévaut d’une violation du principe de la proportionnalité. b) La proportionnalité de la détention doit être examinée au regard de l’ensemble des circonstances concrètes du cas d’espèce (ATF 133 I 168). Le juge peut maintenir la détention préventive aussi longtemps qu’elle n’est pas proche de la durée de la peine privative de liberté à</w:t>
      </w:r>
    </w:p>
    <w:p>
      <w:r>
        <w:t>- 6 - laquelle il faut s’attendre concrètement en cas de condamnation (TF 1B_411/2011 du 31 août 2011 c. 4.1 ; ATF 133 I 168 c. 4.1 ; ATF 132 I 2 c. 4.1). c) En l’espèce, il faut rappeler les circonstances dans lesquelles la tentative de vol, au demeurant admise par le recourant, a été commise. Dans la nuit du 30 avril 2013, pendant que Z.________ faisait le guet, trois de ses comparses auraient tenté de pénétrer dans un appartement pour y commettre un cambriolage. C’est grâce à l’intervention d’un résidant de l’immeuble visité et à l’intervention rapide de la police que Z.________ et ses comparses ont pu être appréhendés. Vu ce qui précède, force est de constater que les actes commis par le recourant ne doivent pas être minimisés, ce d’autant plus que l’intéressé a déjà un passé judiciaire d’une certaine gravité en la matière. On rappellera en effet qu’il a déjà été lourdement condamné à deux reprises en Allemagne (cf. supra B. b). Partant, les infractions reprochées au recourant sont à l’évidence de nature à donner lieu à une peine privative de liberté supérieure à la durée de la détention provisoire prononcée. Il ne fait dès lors aucun doute que le principe de proportionnalité est respecté. Enfin, aucune mesure de substitution ne paraît à même, en l’état, de réduire concrètement le risque constaté.</w:t>
      </w:r>
    </w:p>
    <w:p>
      <w:r>
        <w:rPr>
          <w:b/>
        </w:rPr>
        <w:t>E. 7</w:t>
      </w:r>
    </w:p>
    <w:p>
      <w:r>
        <w:t>Partant, le recours, manifestement mal fondé, doit être rejeté sans autres échanges d’écritures (art. 390 al. 2 CPP). Les frais de la procédure de recours, constitués en l’espèce de l'émolument d'arrêt (art. 422 al. 1 CPP), par 660 fr. (art. 20 al. 1 TFJP [tarif des frais judiciaires pénaux; RSV 312.03.1]), et des frais imputables à la défense d’office (art. 422 al. 1 et 2 let. a CPP), fixés à 540 fr., plus la TVA par 43 fr. 20, soit 583 fr. 20., seront mis à la charge du recourant, qui succombe (art. 428 al. 1 CPP).</w:t>
      </w:r>
    </w:p>
    <w:p>
      <w:r>
        <w:t>- 7 -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de Z.________ est fixée à 583 fr. 20 (cinq cent huitante-trois francs et vingt centimes), TVA comprise. IV. Les frais du présent arrêt, par 660 fr. (six cent soixante francs), ainsi que l’indemnité due au défenseur d’office de Z.________, par 583 fr. 20 (cinq cent huitante-trois francs et vingt centimes), sont mis à la charge de ce dernier. V. Le remboursement à l'Etat de l'indemnité allouée au chiffre III ci-dessus ne sera exigible que pour autant que la situation économique de Z.________ se soit améliorée. VI. Le présent arrêt est exécutoire. Le président : La greffière : Du L'arrêt qui précède, dont la rédaction a été approuvée à huis clos, est notifié, par l'envoi d'une copie complète, à : - Me Katia Pezuela, avocate (pour Z.________), - Ministère public central,</w:t>
      </w:r>
    </w:p>
    <w:p>
      <w:r>
        <w:t>- 8 -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