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PE13.008376 vom 27. Mai 2014</w:t>
      </w:r>
    </w:p>
    <w:p>
      <w:r>
        <w:t>VD Tribunal cantonal, 2014-05-27, FR</w:t>
      </w:r>
    </w:p>
    <w:p>
      <w:r>
        <w:rPr>
          <w:b/>
        </w:rPr>
        <w:t xml:space="preserve">Quelle: </w:t>
      </w:r>
      <w:r>
        <w:t>https://mcp.opencaselaw.ch/entscheid/vd_gerichte_PE13.008376</w:t>
      </w:r>
    </w:p>
    <w:p>
      <w:r>
        <w:t>FR: VD_GERICHTE PE13.008376 du 27 mai 2014</w:t>
      </w:r>
    </w:p>
    <w:p>
      <w:r>
        <w:t>IT: VD_GERICHTE PE13.008376 del 27 maggio 2014</w:t>
      </w:r>
    </w:p>
    <w:p>
      <w:pPr>
        <w:pStyle w:val="Heading2"/>
      </w:pPr>
      <w:r>
        <w:t>Erwägungen</w:t>
      </w:r>
    </w:p>
    <w:p>
      <w:r>
        <w:rPr>
          <w:b/>
        </w:rPr>
        <w:t>E. 1</w:t>
      </w:r>
    </w:p>
    <w:p>
      <w:r>
        <w:t>CPP), qui dans le canton de Vaud est la Chambre des recours pénale du Tribunal cantonal (art. 13 LVCPP [loi d’introduction du code de procédure pénale suisse; RSV 312.01]; art. 80 LOJV, [loi d’organisation judiciaire; RS 173.01]). b) En l’espèce, le recours, qui a été interjeté en temps utile devant l’autorité compétente et satisfait aux conditions de forme posées par l’art. 385 al. 1 CPP, est recevable.</w:t>
      </w:r>
    </w:p>
    <w:p>
      <w:r>
        <w:rPr>
          <w:b/>
        </w:rPr>
        <w:t>E. 2</w:t>
      </w:r>
    </w:p>
    <w:p>
      <w:r>
        <w:t>a) La détention provisoire s’achève lorsque le prévenu commence à purger sa peine privative de liberté de manière anticipée (art. 220 al. 1, 2e hypothèse CPP). Lors de l’exécution anticipée de la peine, il ne s’agit donc plus de détention provisoire ou de détention pour des motifs de sûreté (Härri, in Niggli/Heer/Wiprächtiger (éd.), Basler Kommentar, Schweizerische Strafprozessordnung, 2011, n. 2 ad art. 236 CPP). Selon la jurisprudence, l’art. 227 CPP (demande de prolongation de la détention provisoire) ne s’applique pas lorsqu’une personne qui se trouvait précédemment en détention provisoire entame l’exécution anticipée de sa peine (ATF 137 IV 177 c. 2.1). La procédure pénale suisse ne prévoit pas que le Tribunal des mesure de contrainte doive, de manière analogue, vérifier d’office périodiquement que les conditions de la détention sont encore remplies, après que le prévenu a commencé l’exécution anticipée de la peine (ATF 137 IV 177 c. 2.1), l’art. 236 CPP ne comportant aucun renvoi à l’art. 227 al. 7 CPP. Toutefois, le prévenu bénéficiant de ce régime conserve la possibilité de solliciter en tout temps sa mise en liberté en vertu des art. 31 al. 4 Cst. (Constitution fédérale de la Confédération suisse du 18 avril 1999, RS 101) et 5 ch. 4 CEDH (Convention du 4 novembre 1950 de sauvegarde des droits de l’homme et des libertés fondamentales, RS 0.101) (TF 1B_81/2013 du 14 mars 2013 c.</w:t>
      </w:r>
    </w:p>
    <w:p>
      <w:r>
        <w:t>- 5 - 4.1, et les références citées). Dans cette hypothèse, il convient de suivre la procédure prévue à l’art. 230 CPP, applicable par analogie (CREP 2 septembre 2013/515). b) En l’espèce, la prévenue bénéficiait du régime d’exécution anticipée de peine depuis le 26 novembre 2013. C’est donc bien au Tribunal des mesures de contrainte qu’il revenait de statuer sur la demande de mise en liberté présentée par la recourante, dès lors que la direction de la procédure du Tribunal de première instance n’entendait pas y donner une suite favorable.</w:t>
      </w:r>
    </w:p>
    <w:p>
      <w:r>
        <w:rPr>
          <w:b/>
        </w:rPr>
        <w:t>E. 3</w:t>
      </w:r>
    </w:p>
    <w:p>
      <w:r>
        <w:t>a) La poursuite de la détention sous la forme de l'exécution anticipée de la peine présuppose l'existence d'un motif de détention provisoire particulier. Or, une mesure de détention provisoire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 ATF 139 IV 191). b) En l’espèce, la recourante ne conteste à juste titre pas l’existence de présomptions suffisantes de culpabilité à son encontre.</w:t>
      </w:r>
    </w:p>
    <w:p>
      <w:r>
        <w:rPr>
          <w:b/>
        </w:rPr>
        <w:t>E. 4</w:t>
      </w:r>
    </w:p>
    <w:p>
      <w:r>
        <w:t>L’ordonnance attaquée se fonde notamment sur le risque de fuite (art. 221 al. 1 let. a CPP). a) Selon la jurisprudence du Tribunal fédéral, le risque de fuite doit s'analyser en fonction d'un ensemble de critères tels que le caractère</w:t>
      </w:r>
    </w:p>
    <w:p>
      <w:r>
        <w:t>- 6 -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la recourante, ressortissante roumaine, n’a ni activité lucrative, ni domicile en Suisse. Elle a par ailleurs exprimé la volonté de vouloir rentrer dans son pays. Il existe dès lors un risque concret que K.________ tente de se soustraire aux poursuites pénales en cas de libération. Au vu de ces éléments, le risque de fuite apparaît non seulement possible, mais également probable (TF 1B_414/2011 du 5 septembre 2011 c. 3.1). La constatation de l'existence d'un risque de fuite dispense d'examiner si le risque de réitération au sens des art. 221 al. 1 let. c CPP, tel que retenu par le Tribunal des mesures de contraintes, est realisé (TF 1B_249/2011 du 7 juin 2011 c. 2.4).</w:t>
      </w:r>
    </w:p>
    <w:p>
      <w:r>
        <w:rPr>
          <w:b/>
        </w:rPr>
        <w:t>E. 4.1</w:t>
      </w:r>
    </w:p>
    <w:p>
      <w:r>
        <w:t>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K.________ est placée en détention avant jugement depuis le 27 avril 2013, soit depuis treize mois. Les débats ayant été fixés au 13 août prochain, elle aura passé un peu moins de seize mois</w:t>
      </w:r>
    </w:p>
    <w:p>
      <w:r>
        <w:t>- 7 - en détention, si elle doit y être maintenue. Au vu de la gravité des infractions retenues contre elle, soit notamment le vol en bande et par métier et le blanchiment d’argent, ainsi que la longue durée durant laquelle les prévenus ont agi et le butin conséquent qu’ils ont amassé, la durée de la détention de la recourante demeure proportionnée à la peine à laquelle elle s'expose.</w:t>
      </w:r>
    </w:p>
    <w:p>
      <w:r>
        <w:rPr>
          <w:b/>
        </w:rPr>
        <w:t>E. 5</w:t>
      </w:r>
    </w:p>
    <w:p>
      <w:r>
        <w:t>a) Concernant le respect du principe de la proportionnalité, il y a lieu de relever que cette question doit être examinée au regard de l’ensemble des circonstances concrètes du cas d’espèce (ATF 133 I 168 c.</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au total 583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20 mai 2014 est confirmée. III. L’indemnité allouée au défenseur d’office de K.________ est fixée à 583 fr. 20 (cinq cent huitante-trois francs et vingt centimes).</w:t>
      </w:r>
    </w:p>
    <w:p>
      <w:r>
        <w:t>- 8 - IV. Les frais du présent arrêt, par 770 fr. (sept cent septante francs), ainsi que l’indemnité due au défenseur d’office de K.________, par 583 fr. 20 (cinq cent huitante-trois francs et vingt centimes), sont mis à la charge de cette dernière. V. Le remboursement à l'Etat de l'indemnité allouée au chiffre III ci-dessus ne sera exigible que pour autant que la situation économique de K.________ se soit améliorée. IV. Le présent arrêt est exécutoire. Le président : La greffière : Du L'arrêt qui précède, dont la rédaction a été approuvée à huis clos, est notifié, par l'envoi d'une copie complète, à : - M. Rolf Ditesheim, avocat (pour K.________), - Ministère public central ; et communiqué à : - Mme la Présidente du Tribunal des mesures de contrainte, - M. le Président du Tribunal d’arrondissement de Lausanne,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