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PE13.007512 vom 26. November 2013</w:t>
      </w:r>
    </w:p>
    <w:p>
      <w:r>
        <w:t>VD Tribunal cantonal, 2013-11-26, FR</w:t>
      </w:r>
    </w:p>
    <w:p>
      <w:r>
        <w:rPr>
          <w:b/>
        </w:rPr>
        <w:t xml:space="preserve">Quelle: </w:t>
      </w:r>
      <w:r>
        <w:t>https://mcp.opencaselaw.ch/entscheid/vd_gerichte_PE13.007512</w:t>
      </w:r>
    </w:p>
    <w:p>
      <w:r>
        <w:t>FR: VD_GERICHTE PE13.007512 du 26 novembre 2013</w:t>
      </w:r>
    </w:p>
    <w:p>
      <w:r>
        <w:t>IT: VD_GERICHTE PE13.007512 del 26 novembre 2013</w:t>
      </w:r>
    </w:p>
    <w:p>
      <w:pPr>
        <w:pStyle w:val="Heading2"/>
      </w:pPr>
      <w:r>
        <w:t>Erwägungen</w:t>
      </w:r>
    </w:p>
    <w:p>
      <w:r>
        <w:rPr>
          <w:b/>
        </w:rPr>
        <w:t>E. 22</w:t>
      </w:r>
    </w:p>
    <w:p>
      <w:r>
        <w:t>et 23). On ne saurait dès lors accorder la moindre crédibilité aux déclarations de l'appelant. Au regard de l’ensemble de ces éléments, il ne fait aucun doute que l’appelant est bel et bien l’auteur des infractions qui lui sont reprochées et que celles-ci se sont déroulées conformément aux constatations policières telles que décrites ci-dessus. L’appelant conteste uniquement l’infraction de dérobade aux mesures visant à déterminer la capacité de conduire, laquelle sera examinée ci-dessous (cf. consid. 4 infra). La qualification des autres infractions n’est pas contestée. Il s’agit de cinq violations simples et de dix-neuf violation graves des règles de la circulation routière, avec principalement des dépassements dans tous les sens, des vitesses insensées, des priorités bafouées, des feux rouges grillés, et des lignes de</w:t>
      </w:r>
    </w:p>
    <w:p>
      <w:r>
        <w:t>- 11 - sécurité simples ou doubles franchies en tous sens, le tout pour fuir l’intervention de la police. 3.3 S’agissant de l’accident de motocycle décrit sous chiffre 2.2, il ressort des photos au dossier que la position des véhicules accrédite la version de l’automobiliste selon laquelle il roulait normalement et avait dirigé ses roues en direction de la droite pour tenter d’éviter le heurt (P. 11). Ces photos contredisent les déclarations de l’appelant. En effet, on voit le freinage d’urgence de la moto depuis le milieu de la route, ce qui tend à attester que A.B.________ ne tenait pas sa droite. Enfin, lors de sa première audition, l’appelant a tout d’abord admis que l’automobiliste tenait correctement sa droite avant d’affirmer que celui-ci aurait dû se tenir plus à droite, ce qui est à l’évidence contredit par les photos du dossier. Au regard de l’ensemble de ces éléments, la culpabilité de l’appelant ne fait pas l’ombre d’un doute. La qualification de l’infraction n’est pas contestée par l’intéressé. 3.4 S’agissant de l’excès de vitesse décrit ci-dessus sous chiffre 2.3, la culpabilité de l’appelant doit également être admise. Le véhicule incriminé correspond à la Range Rover de l’appelant, ce que ce dernier ne conteste pas. De plus, la ressemblance entre le prévenu et la photo au dossier a été constaté par le premier juge (cf. jgt., p. 18). Même si l’appelant prétend le contraire, la Cour a déjà relevé que les déclarations de ce dernier quant à un vol ou à un emprunt de son véhicule n’étaient pas crédibles, voire complètement grotesques. Enfin, A.B.________ se moque une fois de plus des autorités en produisant une attestation non datée de sa mère pour tenter de se créer un alibi, à savoir qu’il était à Lyon le 29 septembre 2012.</w:t>
      </w:r>
    </w:p>
    <w:p>
      <w:r>
        <w:t>- 12 - Ainsi, les éléments du dossier sont amplement suffisants pour admettre la culpabilité de l’appelant. Pour le reste, ce dernier ne conteste pas la qualification des infractions retenues. 4. L’appelant conteste s’est rendu coupable de dérobade aux mesures visant à déterminer la capacité de conduire. 4.1 Selon l’art. 91a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prévoit trois hypothèses, à savoir l'opposition, la dérobade et l'entrave à la constatation de l'alcoolémie. La jurisprudence a précisé que l’art. 91a al. 2 LCR était applicable quand le conducteur devait s'attendre avec une haute vraisemblance à ce qu'une mesure visant à établir son alcoolémie soit ordonnée (Giger, Strassenverkehrsgesetz Kommentar, Zurich 2014, nn. 4 et 8 ad art. 91a LCR).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ATF 126 IV 53 c. 2a). Ils peuvent aussi se rapporter au comportement du conducteur (haleine sentant l'alcool, yeux injectés, élocution pâteuse ou démarche incertaine; propos incohérents ou une</w:t>
      </w:r>
    </w:p>
    <w:p>
      <w:r>
        <w:t>- 13 - extrême agitation; ATF 126 IV 53 c. 2a). Constituent enfin des indices d'ébriété les activités de l'auteur avant l'accident (participation à une fête, consommation d'alcool), voire même les antécédents routiers d'un conducteur (TF 6S.435/2001 du 8 août 2001 c. 2e). Le fait de se dérober à une mesure visant à constater l'incapacité de conduire est une infraction de résultat qui suppose, pour être consommée, qu'il soit impossible d'établir le taux d'alcool au moment déterminant (ATF 115 IV 51 c. 5). 4.2 En l’espèce, il n’a pas été possible d’effectuer les mesures nécessaires à l’établissement de l’état du conducteur dans la mesure où A.B.________ n’a pas pu être interpellé à sa place de stationnement puisqu’il a fui à vive allure la police lorsqu'elle lui a demandé de se légitimer, causant par la suite près de vingt-quatre infractions au code de la route. Toutefois, le témoin W.________ a indiqué que l’appelant était nerveux, anxieux et inquiet et qu’il semblait être drogué (PV aud. 2). X.________, serveuse au [...], a également expliqué qu’elle avait trouvé l’appelant bizarre, bien qu’il n’ait pas consommé d’alcool dans l’établissement (PV aud. 3). Au vu du comportement de l’appelant le 26 août 2012 et de la quantité d’infractions commises, il ne fait aucun doute que si la police avait pu l’interpeller, elle aurait contrôlé son état. Partant, c’est à juste titre que l’appelant a été condamné pour dérobade aux mesures visant à déterminer l’incapacité de conduire. 5. L’appelant conteste la quotité de la peine qui lui a été infligée.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- 14 -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lV 6 c. 6.1). 5.2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(cf. ATF 134 IV 5 c. 4.2.1; ATF 128 IV 193 c. 3a; 118 IV 97 c. 2b).</w:t>
      </w:r>
    </w:p>
    <w:p>
      <w:r>
        <w:t>- 15 -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 4.5). 5.3 La culpabilité de l’appelant est lourde. Les infractions commises sont multiples et les faits graves. A charge, on peut retenir le manque de scrupules effarant, l’attitude détestable du prévenu, l’absence totale de prise de conscience, sa volonté à ne pas assumer ses responsabilités et la grave mise en danger de la sécurité d'autrui. L’appelant a multiplié les mensonges et les modes de défense absurdes. A</w:t>
      </w:r>
    </w:p>
    <w:p>
      <w:r>
        <w:rPr>
          <w:b/>
        </w:rPr>
        <w:t>E. 26</w:t>
      </w:r>
    </w:p>
    <w:p>
      <w:r>
        <w:t>ans, il a déjà trois antécédents en matière de LCR, soit trois condamnations pour violations graves, la première en 2009, la deuxième en 2011 et la troisième rendue en février 2014. On ne discerne pas d’éléments à décharge. Au regard de ces éléments, la peine prononcée par le premier juge est adéquate et doit être confirmée. Le pronostic est clairement défavorable, de sorte que le sursis ne saurait être accordé et le sursis accordé par la Chambre pénale de Genève le 21 mars 2011 doit être révoqué.</w:t>
      </w:r>
    </w:p>
    <w:p>
      <w:r>
        <w:t>- 16 - 6. En définitive, l’appel de A.B.________ est rejeté et le jugement rendu le 26 novembre 2013 par le Tribunal de police de l'arrondissement de Lausanne est confirmé. Vu l'issue de la cause, les frais d'appel, par 1’610 fr. (art. 21 al. 1 et 2 TFJP [Tarif des frais judiciaires pénaux du 28 septembre 2010; RSV 312.03.1]), doivent être mis à la charge de A.B.________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