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PE13.005402 vom 27. März 2013</w:t>
      </w:r>
    </w:p>
    <w:p>
      <w:r>
        <w:t>VD Tribunal cantonal, 2013-03-27, FR</w:t>
      </w:r>
    </w:p>
    <w:p>
      <w:r>
        <w:rPr>
          <w:b/>
        </w:rPr>
        <w:t xml:space="preserve">Quelle: </w:t>
      </w:r>
      <w:r>
        <w:t>https://mcp.opencaselaw.ch/entscheid/vd_gerichte_PE13.005402</w:t>
      </w:r>
    </w:p>
    <w:p>
      <w:r>
        <w:t>FR: VD_GERICHTE PE13.005402 du 27 mars 2013</w:t>
      </w:r>
    </w:p>
    <w:p>
      <w:r>
        <w:t>IT: VD_GERICHTE PE13.005402 del 27 marzo 2013</w:t>
      </w:r>
    </w:p>
    <w:p>
      <w:pPr>
        <w:pStyle w:val="Heading2"/>
      </w:pPr>
      <w:r>
        <w:t>Volltext</w:t>
      </w:r>
    </w:p>
    <w:p>
      <w:r>
        <w:t>TRIBUNAL CANTONAL 189 PE13.005402-XCR CHAMBRE DE S RECO URS PEN ALE __________________________________________ Séance du 11 avril 2013 __________________ Présidence de M. SAUTEREL, juge présidant Juges : M. Meylan et Mme Dessaux Greffière : Mme Cattin ***** Art. 221 al. 1 let. c, 221 al. 2, 222, 393 al. 1 let. c CPP Vu l'enquête n° PE13.005402-XCR instruite contre P.________ pour acte d’ordre sexuel avec des enfants et pornographie, d’office et sur plainte de W.________, vu l'appréhension du prénommé le 26 mars 2013, vu l'ordonnance du 27 mars 2013, par laquelle le Tribunal des mesures de contrainte a ordonné la détention provisoire de l'intéressé pour une durée maximale de trois mois, soit au plus tard jusqu'au 26 juin 2013, vu le recours interjeté le 8 avril 2013 par P.________ contre cette décision, vu les pièces du dossier; 351</w:t>
      </w:r>
    </w:p>
    <w:p>
      <w:r>
        <w:t>- 2 -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P.________ est mis en cause pour avoir déclaré à W.________, lors de conversations sur [...] et [...], qu’il s’était exhibé et masturbé devant une fille de douze ans par webcams interposées (cf. PV aud. 1), qu’il aurait évoqué avoir envie «d’une de 13 ans max» et avoir «trop envie de lécher une chatte de 13 ans», qu’il aurait encore déclaré avoir rencontré une fille de onze ans à Lyon et avoir «léché sa petite chatte trop bonne» dans une cave, que le recourant aurait demandé à W.________ de lui présenter des filles de dix ou onze ans,</w:t>
      </w:r>
    </w:p>
    <w:p>
      <w:r>
        <w:t>- 3 - que P.________ a admis s’être masturbé par webcams interposées en présence de jeunes filles mineures et leur avoir demandé de lui montrer leurs seins, qu’il a agi de la sorte avec dix ou douze filles mineures sur une période de cinq ans, dès 2008-2009, qu’il a également admis posséder des vidéos et images pédo- pornographiques sur son ordinateur et avoir utilisé celles-ci pour se masturber, qu’il conteste toutefois avoir entretenu directement des relations intimes avec des filles mineures, que compte tenu des éléments au dossier, il existe des présomptions suffisantes de culpabilité à l’encontre du recourant; attendu que l'ordonnance entreprise se fonde sur les risques de réitération et de passage à l’acte (art. 221 al. 1 let. c et 221 al. 2 CPP), qu'aux termes de l'art. 221 al. 1 let. c CPP, la détention provisoire peut être ordonnée lorsqu'il y a sérieusement lieu de craindre que le prévenu compromette la sécurité d'autrui par des crimes ou des délits graves après avoir déjà commis des infractions du même genre, que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op. cit.), que, bien qu'une application littérale de l'art. 221 al. 1 let. c CPP suppose l'existence d'antécédents, le risque de récidive peut être également admis dans des cas particuliers, alors qu'il n'existe qu'un antécédent, voire aucun dans les cas les plus graves (ATF 137 IV 13 c. 3- 4),</w:t>
      </w:r>
    </w:p>
    <w:p>
      <w:r>
        <w:t>- 4 - que la prévention du risque de récidive doit permettre de faire prévaloir l'intérêt à la sécurité publique sur la liberté personnelle du prévenu (ibid.), que l'art. 221 al. 2 CPP prévoit que la détention peut être ordonnée s'il y a sérieusement lieu de craindre qu'une personne passe à l'acte après avoir menacé de commettre un crime grave, qu'une détention ordonnée en application de ce motif a donc pour objectif d'éviter la concrétisation d'un crime, mais non d'un délit (ATF 137 IV 122), que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op. cit., n. 22 ad art. 221 CPP et les références citées, p. 1029), qu'en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CREP 14 mai 2012/238); attendu qu’en l’espèce, P.________ se rend sur des sites Internet, tels que [...], [...] et [...], pour «tchatter» et également se masturber via webcams interposées devant des filles mineures, qu’il agit de la sorte depuis cinq ans, qu’il dit être satisfait en se masturbant quotidiennement devant son ordinateur, dans les toilettes ou dans son appartement (PV aud. 2, p. 4), qu’il affirme cependant qu’il n’aura jamais de relations intimes avec des filles de moins de seize ans (PV d’audition d’arrestation du 26 mars 2013, p. 3), qu’enfin, il indique avoir essayé d’arrêter, mais cela n’aurait pas fonctionné, car il ne peut s’empêcher d’allumer son ordinateur quand il rentre chez lui (PV aud. 2, p. 3),</w:t>
      </w:r>
    </w:p>
    <w:p>
      <w:r>
        <w:t>- 5 - qu’il serait néanmoins prêt à suivre une thérapie si la justice l’estimait nécessaire (PV aud. TMC, p. 2), qu’en l’occurrence, le recourant semble ne pas avoir conscience de la gravité de ses actes, qu’en cas de remise en liberté, il pourrait facilement accéder à un réseau Internet que soit par le biais d’un ordinateur ou d’un téléphone portable, qu’il est aussi à craindre qu'il ne cède à ses pulsions et ne cherche à assouvir ses fantasmes, malgré son absence d’antécédents judiciaires, qu'il faut ainsi rappeler qu'en cas d'infractions contre l'intégrité sexuelle, la jurisprudence fédérale se montre moins stricte dans l'établissement de la vraisemblance du risque de récidive, car le risque à faire courir aux victimes potentielles est alors considéré comme trop important (ATF 123 I 268 c. 2e), qu'il convient en conséquence de faire prévaloir la sécurité publique, vu le bien juridique menacé, sur la liberté personnelle du recourant, que les conditions de la mise en détention sont donc réalisées pour les risques de réitération et de passage à l'acte; attendu que P.________ demande à ce que des mesures de substitution soient ordonnées,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(ibid.), qu'elles sont donc l'émanation directe du principe de la proportionnalité, consacré par l'art. 197 al. 1 let. c CPP, en vertu duquel le</w:t>
      </w:r>
    </w:p>
    <w:p>
      <w:r>
        <w:t>- 6 - maintien en détention pour les besoins de l'instruction présente l'ultima ratio,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p. 1100), qu'en l'espèce, les conditions de la détention provisoire sont réalisées, que les mesures de substitution proposées par le recourant, soit l’interdiction de détenir à titre privé tout appareil et installation fixe ou mobile permettant d’accéder au réseau Internet, ne sont pas propres à parer les risques de réitération et de passage à l'acte, qu’en effet, rien n’empêcherait le recourant d’accéder à un réseau Internet par le biais d’un ordinateur ou d’un téléphone portable dans un autre lieu que son domicile, comme par exemple sur son lieu de travail ou chez un tiers; attendu qu'au demeurant, les risques de réitération et de passage à l’acte devront faire l'objet d'une nouvelle appréciation aussitôt que l'expert psychiatre mandaté par le procureur aura livré ses premières conclusions, que les droits du recourant impliquent toutefois que les risques de récidive et de passage à l’acte puissent être évalués le plus rapidement possible sur la base de l'expertise ordonnée, que dans ces circonstances, il apparaît opportun que l'expert fournisse au Ministère public, dès qu'il sera en mesure de le faire, un avis oral portant sur ces risques sans attendre le dépôt du rapport écrit qui peut prendre un certain temps (cf. CREP 8 avril 2013/179; CREP 15 février 2013/69; CREP 3 juillet 2012/345; CREP 9 février 2012/40), qu'il s'agira ainsi, pour la direction de la procédure, de veiller à ce que l'expertise psychiatrique soit conduite promptement et que les premières conclusions lui soient communiquées oralement,</w:t>
      </w:r>
    </w:p>
    <w:p>
      <w:r>
        <w:t>- 7 - que l’expertise psychiatrique permettra de déterminer, le cas échéant, si des mesures de substitution sont envisageables; attendu que le recourant est en détention depuis le 26 mars 2013, que compte tenu de la durée de la peine à laquelle il s'expose concrètement en cas de condamnation, cette détention apparaît proportionnée (TF 1B_565/2012 du 16 octobre 2012 c. 2 et 3; ATF 133 I 168 c. 4.1);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présente procédure de recours, par 660 fr. (six cent soixante francs), sont mis à la charge de P.________. IV. Déclare le présent arrêt exécutoire. Le juge présidant : La greffière :</w:t>
      </w:r>
    </w:p>
    <w:p>
      <w:r>
        <w:t>- 8 - Du L'arrêt qui précède, dont la rédaction a été approuvée à huis clos, est notifié, par l'envoi d'une copie complète, à : - M. Pierre-Dominique Schupp, avocat (pour P.________),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