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PE13.004545 vom 27. Mai 2013</w:t>
      </w:r>
    </w:p>
    <w:p>
      <w:r>
        <w:t>VD Tribunal cantonal, 2013-05-27, FR</w:t>
      </w:r>
    </w:p>
    <w:p>
      <w:r>
        <w:rPr>
          <w:b/>
        </w:rPr>
        <w:t xml:space="preserve">Quelle: </w:t>
      </w:r>
      <w:r>
        <w:t>https://mcp.opencaselaw.ch/entscheid/vd_gerichte_PE13.004545</w:t>
      </w:r>
    </w:p>
    <w:p>
      <w:r>
        <w:t>FR: VD_GERICHTE PE13.004545 du 27 mai 2013</w:t>
      </w:r>
    </w:p>
    <w:p>
      <w:r>
        <w:t>IT: VD_GERICHTE PE13.004545 del 27 maggio 2013</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c) En l’espèce, c’est à juste titre que le recourant ne conteste pas l’existence de soupçons suffisants à son encontre. Interpellé à son domicile en possession de stupéfiants, il a admis une partie des faits. Par</w:t>
      </w:r>
    </w:p>
    <w:p>
      <w:r>
        <w:t>- 4 - ailleurs, le rapport final de la police municipale de Lausanne du 22 juillet 2013 détaille précisément les mises en cause dont A.T.________ fait l’objet, lesquelles démontrent un important trafic de stupéfiants dans lequel il a eu une participation active (P. 67, p. 4 ; P. 67, p. 14). Au vu des éléments qui précèdent, il existe des soupçons de culpabilité suffisants à l’encontre du recourant.</w:t>
      </w:r>
    </w:p>
    <w:p>
      <w:r>
        <w:rPr>
          <w:b/>
        </w:rPr>
        <w:t>E. 3</w:t>
      </w:r>
    </w:p>
    <w:p>
      <w:r>
        <w:t>Le recourant conteste l’existence d’un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quand bien même le prévenu est au bénéfice d’un permis B valable jusqu’en mai 2014, il se trouve dans une situation familiale précaire. Il y a lieu de rappeler ici que A.T.________ vivait séparé de son épouse au moment de son interpellation (PV aud. du recourant, du 29 avril 2013). En outre, au vu des explications contenues dans le rapport final de la police municipale de Lausanne du 22 juillet 2013, force est de constater que l’intérêt du prévenu pour sa fille née en 2009 est tout relatif, puisque ce dernier n’aurait pas hésité à l’emmener sur les lieux de ses transactions, à plusieurs reprises, selon la déclaration de certains toxicomanes (P. 64, p. 5). Certes, le recourant invoque avoir un emploi pour lequel il serait rémunéré entre 1'100 fr. et 1'200 fr. (PV aud. 20, R. 24), mais ses dires ne sont étayés par aucune pièce au dossier. A cela s’ajoute encore, la sanction importante à laquelle A.T.________ est exposé</w:t>
      </w:r>
    </w:p>
    <w:p>
      <w:r>
        <w:t>- 5 - au vu de gravité de l’activité délictueuse établie par le rapport final de la police de sûreté du 22 juillet 2013 (P. 67). Au vu de qui précède, force est de constater qu’il existe un risque concret que le recourant tente de se soustraire aux poursuites pénales en cas de libération. Au vu de ces éléments, le risque de fuite apparaît non seulement possible, mais également probable (TF 1B_414/2011 du 5 septembre 2011 c. 3.1).</w:t>
      </w:r>
    </w:p>
    <w:p>
      <w:r>
        <w:rPr>
          <w:b/>
        </w:rPr>
        <w:t>E. 4</w:t>
      </w:r>
    </w:p>
    <w:p>
      <w:r>
        <w:t>pp. 18 ss; TF 1B_731/2011 du 16 janvier 2012 c. 3.1; TF 1B_133/2011 du 12 avril 2011 c. 4.7). Le risque de récidive peut également se fonder sur les infractions faisant l'objet de la procédure pénale en cours, si le prévenu est fortement soupçonné – avec une probabilité confinant à la certitude – de les avoir commises (ATF 137 IV 84 c. 3.2 p. 86 et les références citées, JT 2011 IV 325; TF 1B_731/2011 du 16 janvier 2012 c. 3.1). En l’espèce, l’activité délictueuse du recourant est pratiquement établie et une grande partie des faits ne sont d’ailleurs pas contestés. A.T.________ s’est ainsi adonné au trafic de stupéfiants depuis 2009 jusqu’à son arrestation, soit pendant plus de 4 ans. Il s’agit en outre d’une infraction qualifiée à la LStup. La situation familiale du prévenu, on l’a vu, est précaire. L’existence d’un emploi n’est pas établie. Quand bien même cet emploi existerait, il ne rapporterait qu’un revenu très modéré au prévenu (1'100 fr. à 1'200 fr. [PV aud. du recourant du 19 mars 2013, R. 5]), sans aucun doute insuffisant pour empêcher A.T.________ de récidiver. Le risque de récidive est ainsi manifeste. Les conditions de la détention provisoire étant alternatives, la question d’un éventuel risque de collusion peut rester ouverte, dans la mesure où les conditions du maintien en détention sont réalisées par les risques de fuite et de réitération. En outre, les mesures de substitution proposées par la défense ne reposent sur aucun élément concret et ne sont, en l’état, pas de nature à prévenir le risque de fuite.</w:t>
      </w:r>
    </w:p>
    <w:p>
      <w:r>
        <w:rPr>
          <w:b/>
        </w:rPr>
        <w:t>E. 4.5</w:t>
      </w:r>
    </w:p>
    <w:p>
      <w:r>
        <w:t>p. 21; ATF 135 I 71 c. 2.3 p. 73; ATF 133 I 270 c. 2.2 p. 276 et les arrêts cités).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Cela étant, la mise en danger sérieuse de la sécurité d'autrui par le biais d'une menace de crime ou de délit grave peut se rapporter en principe à des biens juridiques de tous types, notamment la santé publique s'agissant d'infractions qualifiées à la LStup (cf. ATF 137 IV 84 c. 3.5 et 3.7, JT 2011 IV 325). Bien qu'une application littérale de l'art. 221 al. 1 let. c CPP suppose l'existence d'antécédents, le risque de réitération peut être également admis dans des cas particuliers alors qu'il n'existe qu'un</w:t>
      </w:r>
    </w:p>
    <w:p>
      <w:r>
        <w:t>- 6 - antécédent, voire aucun dans les cas les plus graves; la prévention du risque de récidive doit en effet permettre de faire prévaloir l'intérêt à la sécurité publique sur la liberté personnelle du prévenu (ATF 137 IV 13 c. 3-</w:t>
      </w:r>
    </w:p>
    <w:p>
      <w:r>
        <w:rPr>
          <w:b/>
        </w:rPr>
        <w:t>E. 5</w:t>
      </w:r>
    </w:p>
    <w:p>
      <w:r>
        <w:t>Enfin, concernant le respect du principe de proportionnalité, il y a lieu de relever que la proportionnalité de la détention provisoire doit être examinée au regard de l’ensemble des circonstances concrètes du</w:t>
      </w:r>
    </w:p>
    <w:p>
      <w:r>
        <w:t>- 7 -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A.T.________ est détenu depuis le 5 mars 2013, soit depuis près de six mois. Il est mis en cause pour infraction grave à la LStup, passible d’une peine privative de liberté d’un an au moins (art. 19 al. 2 LStup). Les éléments au dossier démontrent une activité délictueuse de grande ampleur ayant débuté en 2009. Dans ces conditions, le recourant encourt une peine d’une durée sensiblement supérieure à celle de la détention subie jusqu’à maintenant si les faits sont avérés. Par conséquent, le principe de proportionnalité des intérêts en présence demeure respecté.</w:t>
      </w:r>
    </w:p>
    <w:p>
      <w:r>
        <w:rPr>
          <w:b/>
        </w:rPr>
        <w:t>E. 6</w:t>
      </w:r>
    </w:p>
    <w:p>
      <w:r>
        <w:t>Il résulte de ce qui précède, que le recours, manifestement mal fondé, doit être rejeté sans autres échanges d’écritures. Les frais de la procédure de recours, constitués en l’espèce de l’émolument d'arrêt, par 770 fr. (art. 20 al. 1 TFJP [tarif des frais judiciaires pénaux; RSV 312.03.1]), et des frais imputables à la défense d’office (art. 422 al. 1 et 2 let. a CPP), fixés à 450 fr., plus la TVA par 36 fr. 80, soit 486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- 8 - Par ces motifs, la Chambre des recours pénale, statuant à huis clos prononce : I. Le recours est rejeté. II. L’ordonnance attaquée est confirmée. III. L’indemnité allouée au défenseur d’office de A.T.________ est fixée à 486 fr. (quatre cent huitante-six francs). IV. Les frais d’arrêt, par 770 fr. (sept cent septante francs), ainsi que l’indemnité due au défenseur d’office de A.T.________, par 486 fr. (quatre cent huitante-six francs), sont mis à la charge de ce dernier. V. Le remboursement à l’Etat de l’indemnité allouée au chiffre III ci-dessus ne sera exigible que pour autant que la situation économique de A.T.________ se soit améliorée. VI. Le présent arrêt est exécutoire. Le président : La greffière : Du L'arrêt qui précède, dont la rédaction a été approuvée à huis clos, est notifié, par l'envoi d'une copie complète, à : - Mme Alexa Landert, avocate (pour A.T.________), - Ministère public central, et communiqué à : - M. le Président du Tribunal des mesures de contrainte, - Mme la Procureure du Ministère public de l’arrondissement de Lausanne,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