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PE13.004492 vom 8. August 2023</w:t>
      </w:r>
    </w:p>
    <w:p>
      <w:r>
        <w:t>VD Tribunal cantonal, 2023-08-08, FR</w:t>
      </w:r>
    </w:p>
    <w:p>
      <w:r>
        <w:rPr>
          <w:b/>
        </w:rPr>
        <w:t xml:space="preserve">Quelle: </w:t>
      </w:r>
      <w:r>
        <w:t>https://mcp.opencaselaw.ch/entscheid/vd_gerichte_PE13.004492</w:t>
      </w:r>
    </w:p>
    <w:p>
      <w:r>
        <w:t>FR: VD_GERICHTE PE13.004492 du 8 août 2023</w:t>
      </w:r>
    </w:p>
    <w:p>
      <w:r>
        <w:t>IT: VD_GERICHTE PE13.004492 del 8 agosto 2023</w:t>
      </w:r>
    </w:p>
    <w:p>
      <w:pPr>
        <w:pStyle w:val="Heading2"/>
      </w:pPr>
      <w:r>
        <w:t>Volltext</w:t>
      </w:r>
    </w:p>
    <w:p>
      <w:r>
        <w:t>TRIBUNAL CANTONAL 627 PE13.004492-ERY CHAMBRE DE S RECO URS PEN ALE __________________________________________ Arrêt du 8 août 2023 __________________ Composition : Mme BYRDE, présidente MM. Perrot et Maillard, juges Greffier : M. Serex ***** Art. 140, 141, 189, 385, 394 let. b CPP Statuant sur le recours interjeté le 28 février 2023 par E.________ contre l’ordonnance rendue le 17 février 2023 par le Ministère public central, division criminalité économique, dans la cause n° PE13.004492-ERY, la Chambre des recours pénale considère : En fait : A. a) A la suite d’une plainte pénale déposée le 14 février 2013 par la société V.________ SA, active dans le négoce de matières premières sur le marché physique, le Ministère public central, division criminalité économique, a ouvert une instruction pénale contre d’anciens employés de ladite société, soit E.________ pour faux dans les titres, suppression de 351</w:t>
      </w:r>
    </w:p>
    <w:p>
      <w:r>
        <w:t>- 2 - titres, escroquerie et gestion déloyale, Q.________ pour complicité d’escroquerie et gestion déloyale, ainsi que L.________ pour gestion déloyale. Il est notamment reproché à E.________ d’avoir, en 2011 et 2012, abusé de son pouvoir de représentation en concluant seul, au moyen de contrats dont il avait occulté l’existence et le contenu à son employeur, diverses opérations d’achat de lots de café physique auprès de différents fournisseurs, et d’avoir en particulier fixé, d’entente avec ces derniers, des prix à des valeurs au-dessus du marché, vraisemblablement dans un but d’enrichissement personnel. La société plaignante fait valoir un dommage estimé à plusieurs millions de dollars américains. b) Par mandat d’expertise du 21 mars 2019, le Ministère public a désigné F.________ en qualité d’expert. Par acte du 1er avril 2019, E.________, par son conseil, a recouru contre ce mandat d’expertise, en concluant, avec suite de frais et dépens, à sa réforme en ce sens que K.________ soit désigné en qualité d’expert et, subsidiairement, à son annulation et au renvoi de la cause au Ministère public pour nouvelle décision dans le sens des considérants. Par arrêt du 29 avril 2019 (n° 341), la Chambre des recours pénale a notamment partiellement admis le recours formé par E.________ contre le mandat d’expertise du 21 janvier 2019, annulé ce mandat en tant qu’il désignait F.________ en qualité d’expert, le confirmant pour le surplus, et renvoyé le dossier de la cause au Ministère public pour désignation d’un nouvel expert. Par arrêt du 27 mars 2020, la Ire Cour de droit public du Tribunal fédéral a admis le recours déposé par V.________ SA, a annulé l’arrêt du 29 avril 2019 de la Chambre des recours pénale et lui a renvoyé la cause pour qu’elle invite la société V.________ SA à déposer des observations et ordonne, le cas échéant, un second échange d’écritures, puis rende une nouvelle décision</w:t>
      </w:r>
    </w:p>
    <w:p>
      <w:r>
        <w:t>- 3 - Par arrêt du 3 juillet 2020 (n° 464), la Chambre des recours pénale a notamment rejeté le recours formé par E.________ contre le mandat d’expertise du 21 mars 2019, qu’elle a confirmé. Par ordonnance du 22 octobre 2020, la Ire Cour de droit public du Tribunal fédéral a notamment rayé la cause du rôle par suite du retrait du recours de E.________. c) Le 14 décembre 2020, le Ministère public a reçu le rapport d’expertise de F.________. d) Par lettres des 25 et 26 mai 2021, Q.________ et E.________ se sont déclarés étonnés du manque de transparence de l’expert en relation avec ses démarches unilatérales vis-à-vis de la plaignante. Le 2 juin 2021, le procureur a imparti à E.________ un délai au 14 juin 2021 pour préciser si son courrier valait demande de récusation. Par acte du 7 juin 2021 adressé au Ministère public, E.________, par son conseil, a confirmé que son courrier du 26 mai 2021 valait demande de récusation de l’expert F.________. Par décision du 11 août 2021 (n° 719), la Chambre de céans a notamment rejeté la demande de récusation de E.________. e) Par décision du 17 mai 2021, le procureur a ordonné à F.________ d’établir un complément d’expertise. Le 9 février 2022 F.________ a déposé un complément d’expertise. f) Le 27 octobre 2022, F.________ a été entendu par le procureur et les parties. Lors de cette audition, le conseil de E.________ a requis qu’une nouvelle expertise soit effectuée. A l’issue de l’audition, un</w:t>
      </w:r>
    </w:p>
    <w:p>
      <w:r>
        <w:t>- 4 - délai a été imparti aux parties pour se déterminer sur la question d’une éventuelle nouvelle expertise par un nouvel expert ou d’un nouveau complément à l’expertise et à son complément déjà rendus par F.________. B. a) Par courrier du 11 novembre 2022, E.________, par son conseil, a requis la mise en œuvre d’une nouvelle expertise et le retranchement du dossier de tous les rapports établis par F.________. Il exposait notamment que le rapport et son complément faisaient ressortir des insuffisances et des inexactitudes, que l’expert, lors de son audition, aurait démontré ignorer des notions de base du commerce actuel du café, qu’il n’aurait pas consulté une pièce importante du dossier et que le rapport et son complément seraient en grande partie rédigés à charge. Selon E.________, l’expertise et son complément étaient incomplets, contradictoires et inexacts, ce qui les rendaient inutilisables. Il estimait que le maintien au dossier de l’expertise et de son complément lui causerait un préjudice irrémédiable. b) Par ordonnance du 11 février 2023, le Ministère public central a refusé d’ordonner une nouvelle expertise, respectivement une contre-expertise (I), a refusé de retrancher du dossier pénal le rapport d’expertise communiqué le 14 décembre 2022 au Ministère public par F.________ (II), a refusé de retrancher du dossier pénal le complément d’expertise établi le 9 février 2022 par F.________ (III), a refusé de retrancher du dossier pénal l’audition de F.________ du 27 octobre 2022 (IV) et a dit que les frais de cette ordonnance suivaient le sort de la cause (V). Le procureur a considéré que F.________ avait réparé le vice affectant son rapport d’expertise en produisant un exemplaire signé et qu’il avait répondu à toutes les questions complémentaires qui lui avaient été posées, pièces à l’appui, dans son complément d’expertise du 9 février 2022. Son audition du 27 octobre 2022 avait quant à elle permis d’apporter des précisions et des clarifications sur la méthode qu’il avait utilisée pour répondre aux questions, de produire des pièces, dont en particulier un ouvrage relié intitulé [...] qui contenait nombre</w:t>
      </w:r>
    </w:p>
    <w:p>
      <w:r>
        <w:t>- 5 - d’informations relatives au commerce du café intéressant la procédure, et de répondre aux questions des parties sur les éléments qui leur paraissaient peu clairs. Le procureur a considéré qu’au vu du contenu du rapport d’expertise, de son complément et des déclarations de F.________ lors de son audition du 27 octobre 2022, il n’y avait pas matière à ordonner un complément, ni à nommer un nouvel expert en vue d’une nouvelle expertise. Il a estimé que les réponses et les pièces que l’expert avait apportées étaient suffisantes pour répondre aux questions qui se posaient dans le cadre de cette procédure ainsi que pour calculer le dommage. Le procureur a considéré que le retranchement du dossier pénal de l’expertise, de son complément ainsi que du procès-verbal d’audition de F.________ ne se justifiait pas non plus dès lors que celui-ci avait répondu à toutes les questions qui lui avaient été posées et avait produit des pièces permettant d’étayer ses réponses. C. Par acte du 28 février 2023, E.________, par son conseil, a recouru contre cette ordonnance en concluant principalement à sa réforme, en ce sens que le Ministère public doit ordonner une nouvelle expertise et retrancher le rapport d’expertise et le rapport de complément d’expertise. Subsidiairement, il a conclu à l’annulation de la décision et au renvoi du dossier de la cause au Ministère public. Il n’a pas été ordonné d’échange d’écritures.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w:t>
      </w:r>
    </w:p>
    <w:p>
      <w:r>
        <w:t>- 6 -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Ainsi, l’art. 385 al. 2 CPP, qui concrétise</w:t>
      </w:r>
    </w:p>
    <w:p>
      <w:r>
        <w:t>- 7 -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(art. 89 al. 1 CPP) (TF 6B_1447/2022 du 14 mars 2023 consid. 1.1 ; TF 1B_318/2021 du 25 janvier 2022 consid. 4.1 et les réf. cit. ; TF 6B_609/2021 du 19 juillet 2021 consid. 2.4 ; TF 6B_510/2020 du 15 septembre 2020 consid. 2.2 ; CREP 7 octobre 2022/740 consid. 1.2.2 ; CREP 17 août 2022/617). 1.2.2 Le Code de procédure pénale contient des dispositions sur les méthodes d'administration des preuves interdites (art. 140 CPP) et sur l'exploitation des moyens de preuves obtenus illégalement (art. 141 CPP). En application de l’art. 140 CP,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t>- 8 - 1.3 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L’art. 189 CPP prévoit ainsi la possibilité de compléter ou de clarifier une expertise. La décision relève de l’appréciation quant à l’opportunité d’administrer ou non cette preuve. Il en découle que la recevabilité du recours ne peut être admise qu’en cas de préjudice irréparable, en application de l’art. 394 let. b CPP et de la jurisprudence y afférente (CREP 15 mai 2023/390 ; CREP 27 novembre 2019/953 ; CREP 6 juin 2014/392).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143 IV 475 consid. 2.5 ; ATF 136 IV 92 consid. 4 ; ATF 134 III 188 consid. 2.3). En adoptant l'art. 394 let. b CPP,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(cf. art. 5 al. 1 CPP)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(Loi du 17 juin 2005 sur le Tribunal fédéral ; RS</w:t>
      </w:r>
    </w:p>
    <w:p>
      <w:r>
        <w:t>- 9 - 173.110), lequel s'entend, en droit pénal, d'un dommage juridique à l'exclusion d'un dommage de pur fait tel l'allongement ou le renchérissement de la procédure (ATF 144 IV 127 consid. 1.3.1 ; TF 1B_682/2021 du 30 juin 2022 consid. 3.1).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(TF 1B_682/2021 précité ; TF 1B_265/2020 du 31 août 2020 consid. 3.1 ; TF 1B_193/2019 du 23 septembre 2019 consid. 2.1). 1.4 En l’espèce, E.________ invoque une violation de l’art. 189 CPP, remettant en question les compétences de F.________ en sa qualité d’expert, avançant en substance que celui-ci n’aurait pas répondu à certaines des questions qui lui étaient posées, qu’il n’aurait pas pris connaissance de certaines pièces qui lui avaient été transmises, qu’il ne disposerait pas des connaissances suffisantes relatives aux technologies actuelles, que ses conclusions ne seraient pas suffisamment étayées pour permettre d’évaluer la logique interne qui y a mené et qu’il ne serait pas possible de savoir à quelles méthodes d’analyse il aurait eu recours. Le recourant ne fait cependant pas valoir que le rejet de sa requête de mise en œuvre d’une nouvelle expertise et de retranchement du rapport d’expertise du 14 décembre 2020 ainsi que du complément d’expertise du 9 février 2022 l’exposerait, à ce stade, à un préjudice irréparable. Cette réquisition ne portant à l’évidence pas sur des preuves qui risqueraient de disparaître prochainement ou sur une expertise dont l’objet serait susceptible de modifications, il apparaît au contraire qu’il pourra renouveler sa requête d’administration de preuve devant l’autorité de jugement de première instance sans préjudice juridique (art. 318 al. 2, 3e phrase, CPP ; art. 331 al. 2 CPP), puis, le cas échéant, se plaindre d’un nouveau refus devant l’autorité d’appel (art. 399 al. 3 let. c CPP). Ainsi, le recours doit être déclaré irrecevable sur ce point en application de l’art.</w:t>
      </w:r>
    </w:p>
    <w:p>
      <w:r>
        <w:t>- 10 - 394 let. b CPP, faute pour le recourant d’avoir rendu vraisemblable, ni même avoir tenté de le faire, que l’ordonnance attaquée l’exposerait à un préjudice irréparable. La conclusion du recourant tendant au retranchement des rapports de l’expert est également irrecevable, dès lors que le recours ne contient aucune motivation sur les raisons qui devraient conduire à admettre à une telle réquisition. L’art. 385 al. 2 CPP ne devant pas permettre au recourant de pallier un défaut de motivation de son acte, il n’y a pas lieu d’accorder un délai de grâce à E.________. Par surabondance, on ne voit pas en quoi les pièces en question ne seraient pas exploitables sous l’angle des art. 140 et 141 CPP, dans la mesure où il s’agit de rapports émanant d’un expert ayant agi dans le cadre d’un mandat dont la validité a été confirmée par la Chambre de céans et dont la récusation a été vainement requise par le recourant. 2. Au vu de ce qui précède, le recours de E.________ doit être déclaré irrecevable, sans échange d’écriture (art. 390 al. 2 CPP). Les frais de la procédure de recours, constitués en l’espèce du seul émolument d’arrêt, par 990 fr. (art. 422 al. 1 CPP et 20 al. 1 TFIP [tarif des frais de procédure et indemnités en matière pénale du 28 septembre 2010 ; BLV 312.03.1]), seront mis à la charge de E.________, qui succombe (art. 428 al. 1 CPP). Par ces motifs, la Chambre des recours pénale prononce : I. Le recours est irrecevable. II. Les frais d’arrêt, par 990 fr. (neuf cent nonante francs), sont mis à la charge de E.________. III. L’arrêt est exécutoire.</w:t>
      </w:r>
    </w:p>
    <w:p>
      <w:r>
        <w:t>- 11 - La présidente : Le greffier : Du Le présent arrêt, dont la rédaction a été approuvée à huis clos, est notifié, par l'envoi d'une copie complète, à : - Me Stephen Gintzburger (pour E.________), - Ministère public central, et communiqué à : - M. le Procureur du Ministère public central, division criminalité économique, - Me Hervé Crausaz (pour V.________ SA), - Me Yann Oppliger (pour L.________), - Me Patrick Sutter (pour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