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PE13.003336 vom 13. Mai 2016</w:t>
      </w:r>
    </w:p>
    <w:p>
      <w:r>
        <w:t>VD Tribunal cantonal, 2016-05-13, FR</w:t>
      </w:r>
    </w:p>
    <w:p>
      <w:r>
        <w:rPr>
          <w:b/>
        </w:rPr>
        <w:t xml:space="preserve">Quelle: </w:t>
      </w:r>
      <w:r>
        <w:t>https://mcp.opencaselaw.ch/entscheid/vd_gerichte_PE13.003336</w:t>
      </w:r>
    </w:p>
    <w:p>
      <w:r>
        <w:t>FR: VD_GERICHTE PE13.003336 du 13 mai 2016</w:t>
      </w:r>
    </w:p>
    <w:p>
      <w:r>
        <w:t>IT: VD_GERICHTE PE13.003336 del 13 maggio 2016</w:t>
      </w:r>
    </w:p>
    <w:p>
      <w:pPr>
        <w:pStyle w:val="Heading2"/>
      </w:pPr>
      <w:r>
        <w:t>Erwägungen</w:t>
      </w:r>
    </w:p>
    <w:p>
      <w:r>
        <w:rPr>
          <w:b/>
        </w:rPr>
        <w:t>E. 38</w:t>
      </w:r>
    </w:p>
    <w:p>
      <w:r>
        <w:t>consid. 2a ; cf. aussi, quant à la notion d’arbitraire, ATF 136 III 552 consid. 4.2). 2.4.2 Les premiers juges ont estimé qu’il subsistait un « léger doute » au sujet des actes d’ordre sexuel que L.________ aurait imposé à A.Y.________, dans la mesure où l’instruction n’avait pas permis d’établir si cette dernière avait exprimé clairement son refus lors des relations sexuelles. Ils ont également relevé l’ambiguïté de la relation et la confusion sentimentale ayant régné au sein du couple (jgt, p. 48). En l’espèce, il ressort effectivement du dossier que la relation de couple entretenue par les parties s’est avérée ambiguë et a été émaillée de fréquentes disputes suivies de réconciliations. Les déclarations successives de A.Y.________ au cours de l’instruction s’avèrent quant à elles peu claires s’agissant de son attitude face aux relations sexuelles dans le couple. Lors du dépôt de sa plainte, l’appelante a ainsi décrit des relations et actes d’ordre sexuel contraints, avant de nuancer : « J’acceptais par peur des problèmes, mais au fond de moi, je n’en avais pas envie » (P. 4, p. 5). Par la suite, elle a encore indiqué : « Il est arrivé [que L.________] me force à quelques reprises à entretenir des relations sexuelles complètes et à lui faire des fellations. Je précise que pour moi, il</w:t>
      </w:r>
    </w:p>
    <w:p>
      <w:r>
        <w:t>- 20 - s’agissait de choses normales dans une relation de couple, en ce sens qu’il savait que je n’en avais pas envie, mais qu’il insistait jusqu’à ce que je cède » (PV aud. 2, ll. 60 ss). Lors de l’audience de première instance, A.Y.________ a déclaré ce qui suit à propos des relations sexuelles prétendument imposées par le prévenu : « Plusieurs fois, j’ai cédé en pensant qu’il allait se calmer » (jgt, p. 6), ou encore : « L.________ me disait qu’entretenir des relations sexuelles le calmerait et lui ferait du bien. Je me souviens très bien avoir fixé une tache au plafond en attendant que cela se termine » (Idem, p. 32). Enfin, il convient de relever qu’à plusieurs reprises, l’appelante a relativisé l’importance des actes et relations que lui aurait fait subir le prévenu : « Pour vous répondre, pour moi, tous ces épisodes étaient certes contraints, mais c’était encore acceptable, en ce sens que ce n’est pas cela qui m’a posé le plus de problèmes dans notre relation » (PV aud. 2, ll. 77 ss), ou encore : « Toujours en réponse à Me Barth, pour moi, les actes d’ordre sexuel étaient les moins pires de ce que j’ai vécu » (jgt, p. 32). Il ressort de ce qui précède que A.Y.________, si elle a indiqué à plusieurs reprises avoir exprimé au prévenu son refus « de manière claire » (jgt, p. 32), n’a jamais décrit comment cette protestation se serait exprimée de façon reconnaissable pour L.________. Le fait qu’elle ait, au cours de l’instruction, rapporté une absence de désir d’entretenir des relations sexuelles ou de pratiquer des fellations ne signifie en effet pas encore que le prévenu en ait eu conscience et ait décidé de passer outre ce refus. Les diverses déclarations de l’appelante relevées plus haut laissent d’ailleurs apparaître que celle-ci semble avoir cédé au prévenu moins par peur ou par contrainte que par lassitude et envie d’éviter les disputes. S’agissant des épisodes au cours desquels L.________ aurait usé de sa force physique pour contraindre sa partenaire à l’acte sexuel, notamment en tenant celle-ci par le bras, il convient également de relever les déclarations contradictoires de A.Y.________, qui a en particulier indiqué : « L.________ m’a maintenue par les bras, mais n’a jamais usé de violence physique envers moi pour me contraindre à la relation sexuelle » (PV aud. 2, ll. 72 s.). La plaignante n’a, pour le reste, donné aucun détail relatif à une telle utilisation de la force, et n’a jamais prétendu avoir</w:t>
      </w:r>
    </w:p>
    <w:p>
      <w:r>
        <w:t>- 21 - cherché à résister, alors qu’elle s’est par ailleurs trouvée capable, en d’autres occasions, de s’opposer aux désirs de son compagnon. En l’absence d’autres éléments propres à étayer les déclarations de l’appelante, on ne saurait ainsi écarter tout doute raisonnable quant au fait que L.________ aurait outrepassé un refus reconnaissable de sa partenaire afin de lui imposer des relations ou des actes d’ordre sexuel. Pour le reste, l’argument de l’appelante, selon lequel son absence de satisfaction sexuelle devait nécessairement découler de son refus d’entretenir des rapports sexuels, ne saurait être suivi. En effet, il est notoire qu’une insatisfaction sexuelle au sein d’un couple ne résulte pas systématiquement de la contrainte de l’un des partenaires. Le fait que L.________ ait reproché à A.Y.________ de se montrer frigide ne signifie pas davantage qu’il ait eu conscience de son refus de se livrer à toute relation intime. En définitive, c’est à bon droit que les premiers juges ont mis L.________ au bénéfice du doute et ont renoncé à retenir à sa charge les infractions de viol et de contrainte sexuelle. 2.5 L’appelante conclut enfin à l’augmentation du montant alloué à raison du tort moral subi, d’une part, et fait grief aux premiers juges, d’autres part, d’avoir refusé de lui allouer des dépens pour le travail qu’elle a elle-même accompli dans le dossier avant de mandater un conseil. 2.5.1 Concernant le montant du tort moral, l’appelante ne conteste pas la quotité allouée par le Tribunal correctionnel sur la base de l’état de fait retenu, mais estime que celle-ci doit être augmentée en proportion des infractions supplémentaires retenues à l’issue de la procédure d’appel. Toutes les infractions invoquées par A.Y.________ ayant été rejetées, il n’y a en l’occurrence pas lieu de revoir le montant alloué dans le cadre de la procédure de première instance.</w:t>
      </w:r>
    </w:p>
    <w:p>
      <w:r>
        <w:t>- 22 - 2.5.2 S’agissant de l’indemnisation d’une partie non assistée par un mandataire professionnelle, la jurisprudence fédérale n’autorise celle-ci qu’à titre exceptionnel, soit lorsque la cause s’avère complexe et porte sur une valeur litigieuse élevée, que la sauvegarde des intérêts de la partie nécessite un travail excédant celui que peut raisonnablement prendre sur lui un particulier, et que le rapport entre les efforts déployés et le résultat obtenu dans la sauvegarde des intérêts en question paraisse raisonnable (cf. ATF 110 V 132 consid. 4d). En l’espèce, la lecture du dossier ne laisse nullement apparaître que l’appelante aurait déployé une activité intense et particulièrement chronophage. La comparution aux audiences d’instruction fait ainsi partie des tâches habituellement dévolues à une partie à un procès et ne justifie pas en soi une indemnisation. Cela vaut, à plus forte raison, dans la mesure où A.Y.________ n’a été entendue qu’une fois par la police et une autre par le Ministère public. Elle a, pour le surplus, rédigé quelques courriers de taille modeste adressés au Ministère public (P. 5, 6, 9, 14 et 17), ainsi qu’une réquisition de preuves au sens de l’art. 331 al. 2 CPP (P. 21). En définitive, cette activité ne dépasse pas celle que tout particulier peut raisonnablement prendre sur lui dans le cadre d’une procédure pénale, et ne saurait entraîner une indemnisation. Mal fondé, ce moyen doit ainsi être rejeté. En conséquence, l'appel de A.Y.________ doit être intégralement rejeté.</w:t>
      </w:r>
    </w:p>
    <w:p>
      <w:r>
        <w:t>- 23 - 3. Appel de L.________ 3.1 L’appelant conteste s’être rendu coupable de dommages à la propriété. Il soutient que le téléphone cellulaire qu’il a admis avoir brisé, de même que la tête de lit qu’il a reconnu avoir détériorée à coup de poing lui appartenaient en propriété, respectivement en copropriété. 3.1.1 Aux termes de l’art. 144 al. 1 CP, celui qui aura endommagé, détruit ou mis hors d'usage une chose appartenant à autrui ou frappée d'un droit d'usage ou d'usufruit au bénéfice d'autrui sera, sur plainte, puni d'une peine privative de liberté de trois ans au plus ou d'une peine pécuniaire. Par chose appartenant à autrui, on entend la chose qui est dans la propriété d’autrui, même si l’auteur de l’infraction en est également copropriétaire (Corboz, Les infractions en droit suisse, vol. I, 3e éd., Berne 2010, n. 4 ad art. 144 CP ; Dupuis et alii [éd.], Petit commentaire du Code pénal, Bâle 2012, n. 9 ad art. 144 CP). 3.1.2 En l’espèce, l’appelant ne conteste pas avoir saisi un téléphone portable des mains de A.Y.________ et l’avoir brisé en le jetant au sol (cf. jgt, p. 17). Il soutient en revanche que le téléphone lui appartenait et qu’il avait simplement prêté celui-ci à l’intéressée. Il ressort toutefois du dossier que le prévenu a proposé à A.Y.________ de remplacer cet appareil : « Je t’ai promis l’iPhone. […] Il fait le double de mémoire de celui que j’ai cassé » (P. 5/4), ou encore : « Demain j’achète l’iPhone 4 que je te dois » (Ibidem). Le prévenu a enfin invoqué la compensation s’agissant du montant dû ensuite du bris de ce téléphone : « Tu gardes le loyer, ça contribuera au remboursement de ton iPhone » (Ibidem). Ces divers messages suggèrent ainsi que l’appareil était bien la propriété de A.Y.________. En le détruisant, le prévenu s’est donc rendu coupable de dommages à la propriété.</w:t>
      </w:r>
    </w:p>
    <w:p>
      <w:r>
        <w:t>- 24 - Il en va de même concernant la tête de lit, objet dont l’appelant prétend avoir été copropriétaire. Il perd en effet de vue que, même à supposer qu’il puisse lui-même revendiquer une part de propriété sur le lit, l’endommagement de celui-ci resterait constitutif d’un dommage à la propriété au sens de l’art. 144 al. 1 CP. Il découle de ce qui précède que les premiers juges ont retenu à bon droit que le prévenu s’était rendu coupable de dommages à la propriété relativement au téléphone cellulaire de A.Y.________ et à la tête de lit. 3.2 L’appelant conteste avoir injurié A.Y.________, tout en admettant que, lors des disputes du couple, des mots blessants étaient échangés de part et d’autre. 3.2.1 Selon l’art. 177 al. 1 CP, celui qui, de toute autre manière, aura, par la parole, l'écriture, l'image, le geste ou par des voies de fait, attaqué autrui dans son honneur sera, sur plainte, puni d'une peine pécuniaire de 90 jours-amende au plus. Le juge pourra exempter le délinquant de toute peine si l'injurié a directement provoqué l'injure par une conduite répréhensible (al. 2). L'honneur que protège l'art. 177 CP est le sentiment et la réputation d'être une personne honnête et respectable, c'est-à-dire le droit de ne pas être méprisé en tant qu'être humain ou entité juridique. Pour apprécier si une déclaration est attentatoire à l'honneur, il faut se fonder non pas sur le sens que lui donne la personne visée mais procéder à une interprétation objective selon la signification qu'un auditeur ou un lecteur non prévenu doit, dans les circonstances d'espèce, lui attribuer.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w:t>
      </w:r>
    </w:p>
    <w:p>
      <w:r>
        <w:t>- 25 - de mépris doit revêtir une certaine gravité, excédant ce qui est acceptable. Sur le plan subjectif, l'injure suppose l'intention. L'auteur doit vouloir ou accepter que son message soit attentatoire à l'honneur et qu'il soit communiqué à la victime (TF 6B_557/2013 du 12 septembre 2013 consid. 1.1 et les références citées). 3.2.2 En l’espèce, le Tribunal correctionnel n’a pas retenu, à la charge de l’appelant, les injures qu’il aurait proférées à l’encontre de A.Y.________ dès le mois d’octobre 2012, en raison de la tardiveté de la plainte déposée par l’intéressée. Il a en revanche retenu que L.________ avait traité la plaignante de « monstre » et d’« ordure » postérieurement à leur rupture, ce qui ressort en effet du dossier (P. 5/4). L’échange de messages au cours duquel ces termes ont été employés ne laisse nullement apparaître des injures émanant de A.Y.________ et révèle au contraire que le prévenu s’est seul répandu en propos injurieux, de sorte que ceux-ci n’ont pas été provoqués par une conduite répréhensible de l’injuriée au sens de l’art. 177 al. 2 CP. Pour le reste, il n’est pas douteux que les qualificatifs de « monstre » et « ordure » soient attentatoires à l'honneur et propres à rendre méprisable la personne à laquelle ils sont adressés. Le prévenu a d’ailleurs reconnu que, selon lui, il était injurieux de traiter quelqu’un d’« ordure » (jgt, p. 7). Il découle de ce qui précède que l'appel doit être rejeté sur ce point. 3.3 L’appelant conteste s’être rendu coupable de menaces qualifiées lors de l’altercation du 30 janvier 2013. Il soutient avoir uniquement déclaré à A.Y.________ qu’il souhaitait s’en prendre à lui- même. 3.3.1 Aux termes de l’art. 180 CP, celui qui, par une menace grave, aura alarmé ou effrayé une personne sera, sur plainte, puni d'une peine privative de liberté de trois ans au plus ou d'une peine pécuniaire (al. 1).</w:t>
      </w:r>
    </w:p>
    <w:p>
      <w:r>
        <w:t>- 26 - La poursuite aura lieu d’office si l'auteur est le partenaire hétérosexuel ou homosexuel de la victime pour autant qu'ils fassent ménage commun pour une durée indéterminée et que la menace ait été commise durant cette période ou dans l'année qui a suivi la séparation (al. 2 let. b). Sur le plan objectif, la répression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(cf. TF 6B_192/2012 du 10 septembre 2012 consid. 1.1). L’exigence d’une menace grave doit conduire à exclure la punissabilité lorsque le préjudice évoqué apparaît objectivement d’une importance trop limitée pour justifier la répression pénale (Corboz, op. cit., n. 9 ad art. 180 CP). En second lieu, il faut que la victime ait été effectivement alarmée ou effrayée.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(ATF 99 IV 212 consid. 1a). Le comportement de l’auteur doit être examiné dans son ensemble pour déterminer ce que le destinataire était fondé à redouter (Corboz, op. cit., n. 8 ad art. 180 CP). Le juge dispose d’un certain pouvoir d’appréciation pour dire si la menace doit être qualifiée de grave. Subjectivement, l’auteur doit avoir l’intention non seulement de proférer des menaces graves, mais aussi d’alarmer ou d’effrayer le destinataire. Le dol éventuel suffit (TF 6B_598/2011 du 27 juillet 2012 consid. 1.1). 3.3.2 En l’espèce, l’appréciation des preuves faite par les premiers juges ne prête pas le flanc à la critique. En effet, ceux-ci ont retenu les faits tels qu’ils ont été rapportés de manière constante et précise par</w:t>
      </w:r>
    </w:p>
    <w:p>
      <w:r>
        <w:t>- 27 - A.Y.________, qui a invariablement déclaré s’être trouvée face au prévenu tandis que ce dernier tenait un couteau de cuisine à la main – pointant cet objet dans sa direction – et menaçait de tuer les deux membres du couple (cf. P. 4, p. 6 ; PV aud. 2, ll. 139 ss ; jgt, p. 21). L’intéressée a également indiqué avoir pris cette menace au sérieux et en avoir éprouvé une grande frayeur. L’impact psychologique de l’épisode du 30 janvier 2013 sur A.Y.________ a par ailleurs été confirmé par les témoignages de P.________, qui a déclaré que celle-ci était « terrorisée » et en « état de choc » (jgt, pp. 13 s.), et de J.________, qui a indiqué qu’elle était « stressée et même paniquée » (jgt, p. 27). Les premiers juges ont en revanche écarté les éléments pour lesquels un doute subsistait, notamment le fait que le prévenu aurait directement placé le couteau de cuisine à proximité de la poitrine ou de la gorge de sa victime (cf. supra, ch. 2.1). On conçoit mal, pour le reste, pourquoi A.Y.________ aurait pu éprouver une crainte intense à l’égard de L.________, suite à l’altercation du 30 janvier 2013, si ce dernier s’était contenté, ainsi qu’il l’a expliqué, de saisir le couteau, de le diriger contre lui, avant de le reposer immédiatement en réalisant qu’il faisait une « bêtise » puis d’entamer une discussion (jgt, p. 22). En définitive, c’est ainsi à bon droit que le Tribunal correctionnel a retenu que le prévenu s’était rendu coupable de menaces qualifiées à raison des faits concernés. Mal fondé, l'appel doit être rejeté sur ce point. 3.4 L’appelant fait encore grief aux premiers juges d’avoir retenu à sa charge l’infraction de contrainte qui ne serait, selon lui, pas prouvée. 3.4.1 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Alors que la violence consiste dans l'emploi d'une force physique d'une certaine intensité à l'encontre de la victime (ATF 101 IV 42</w:t>
      </w:r>
    </w:p>
    <w:p>
      <w:r>
        <w:t>- 28 -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 134 IV 216 consid. 4.2 ; 119 IV 301 consid. 2a). Sur le plan subjectif, il faut que l'auteur ait agi intentionnellement, c'est-à-dire qu'il ait voulu contraindre la victime à adopter le comportement visé en étant conscient de l'illicéité de son comportement ; le dol éventuel suffit (ATF 120 IV 17 consid. 2c). 3.4.2 En l’espèce, le Tribunal correctionnel a en premier lieu considéré que L.________ s’était rendu coupable de contrainte en ayant, aux alentours du mois d’octobre 2012, retenu plusieurs minutes A.Y.________ dans la chambre à coucher du couple contre la volonté de l’intéressée. Les premiers juges se sont en l’occurrence fondés, dans une</w:t>
      </w:r>
    </w:p>
    <w:p>
      <w:r>
        <w:t>- 29 - appréciation des preuves qui ne prête pas le flanc à la critique, sur les déclarations claires et précises de A.Y.________ à cet égard. Loin d’avoir cherché à accabler le prévenu, la plaignante a d’ailleurs admis que cet épisode n’avait duré que quelques minutes (cf. PV aud. 2, ll. 86 ss). Les explications du prévenu, selon lesquelles il se serait lui-même enfermé dans une chambre afin de s’isoler, ne sont quant à elles pas crédibles, dans la mesure où A.Y.________ a expliqué qu’il s’agissait d’un épisode différent, qu’elle situe au 19 janvier 2013 (jgt, p. 16). Les premiers juges ont en second lieu retenu à bon droit que L.________ s’était rendu coupable de contrainte en ayant, après la rupture du 30 janvier 2013, empêché A.Y.________ de mener sa vie comme elle l’entendait. L’appelant ne conteste pas, pour sa part, que l’intéressée ait momentanément délaissé son domicile pour être hébergée par des connaissances, ni qu’elle ait adapté ses horaires de travail afin de ne plus risquer de le croiser seule. Il estime cependant que son attitude, bien qu’intrusive, n’avait rien d’illicite et relevait en substance du désarroi amoureux. Il n’aurait pour le reste jamais menacé A.Y.________ ni cherché à nuire à sa réputation. Cette explication ne convainc pas. Il ressort en effet clairement du dossier que, dans les jours ayant suivi l’altercation du 30 janvier 2013, l’appelant a assailli A.Y.________ de coups de téléphone et de messages. Les échanges électroniques reproduits au dossier s’avèrent édifiants à cet égard (P. 5/4). Le prévenu a ainsi à plusieurs reprises annoncé à la plaignante qu’il allait se suicider, notamment afin de pousser celle-ci à répondre à ses messages ou appels. L.________ a par ailleurs indiqué, les 31 janvier et 5 février 2016, qu’il se trouvait dans la cave de A.Y.________ et entendait y passer la nuit. Le 12 février 2013, il a en outre écrit : « Puisque c’est comme ça je continuerai. Je viens au [...] demain matin, et tous les autres jours s’il le faut », puis « Réponds-moi une dernière fois. Sinon je viens tous les jours au [...]. Jusqu’à te voir et tu m’en sais capable ». Le 14 février 2016, l’appelant a encore proféré les menaces suivantes : « Faute de réponse de ta part, je commence à activer mon réseau… Je n’ai plus beaucoup d’alternatives A.Y.________… ». Enfin, l’appelant a tour-à-</w:t>
      </w:r>
    </w:p>
    <w:p>
      <w:r>
        <w:t>- 30 - tour menacé d’entamer des démarches judiciaires civiles ou de déposer une plainte pénale contre A.Y.________ afin de la pousser à accéder à ses désidératas. Cette kyrielle de messages émanant du prévenu visait ainsi manifestement à contraindre l’intéressée à adopter un comportement déterminé, soit en particulier à répondre à ses appels, à le rencontrer ou à lui permettre de demeurer dans l’appartement du couple. Pour arriver à ses fins, l’appelant a menacé A.Y.________ de s’en prendre à elle par différents biais, notamment en ruinant sa réputation professionnelle. Ces pressions et menaces ont eu directement pour effet de pousser A.Y.________ à se faire héberger par des tiers. Le témoin P.________ a ainsi confirmé que l’intéressée, qui a logé chez elle durant environ deux semaines, craignait alors de croiser le prévenu, tandis que ce dernier avait annoncé qu’il comptait passer la nuit dans la cave ou sur le paillasson de son appartement (jgt, p. 14). Le témoin J.________, vigile au Tribunal [...] dont A.Y.________ avait fait la connaissance dans le cadre professionnel, a quant à elle indiqué avoir hébergé l’intéressée durant plusieurs semaines après l’altercation du 30 janvier 2013 et avoir constaté que celle-ci avait modifié ses horaires de travail afin de ne pas se trouver confrontée seule à L.________ (jgt, p. 27). Il découle de ce qui précède que L.________ a, par son comportement et ses pressions diverses, entravé la liberté de A.Y.________ dans les jours ayant suivi l’altercation du 30 janvier 2013. On relèvera par ailleurs que l’intention du prévenu était bien, à cet égard, de contraindre la prénommée à se plier à ses multiples désirs. En définitive, mal fondés, les griefs de l’appelant concernant l’infraction de contrainte doivent être rejetés. 3.5 A titre subsidiaire, l’appelant conclut à l’octroi du sursis complet à l’exécution de la peine. 3.5.1 L'art. 42 al. 1 CP prévoit que le juge suspend en règle générale l'exécution d'une peine pécuniaire, d'un travail d'intérêt général ou d'une peine privative de liberté de six mois au moins et de deux ans au plus</w:t>
      </w:r>
    </w:p>
    <w:p>
      <w:r>
        <w:t>- 31 -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L'art. 42 CP n'exige pas l'existence d'un pronostic favorable quant au comportement futur du condamné. Le sursis est refusé non pas lorsqu'il est impossible d'établir un pronostic favorable, mais bien parce qu'un pronostic défavorable existe. Le sursis est la règle dont on ne peut en principe s'écarter qu'en présence d'un pronostic défavorable. En cas d'incertitude, le sursis doit primer (ATF 134 IV 1 consid. 4.2.2 in fine). Selon l'art. 43 CP, le juge peut suspendre partiellement l'exécution d'une peine pécuniaire, d'un travail d'intérêt général ou d'une peine privative de liberté d'un an au moins et de trois ans au plus afin de tenir compte de façon appropriée de la faute de l'auteur (al. 1). Dans le cas des peines privatives de liberté qui excèdent la limite fixée pour l'octroi du sursis complet – soit entre deux et trois ans –, l'art. 43 CP s'applique de manière autonome. En effet, exclu dans ces cas, le sursis complet est alors remplacé par le sursis partiel pour autant qu'il n'y ait pas de pronostic défavorable (ATF 134 IV 1 consid. 5.3.2 et 5.5.1). Les conditions subjectives permettant l'octroi du sursis (art. 42 CP), à savoir les perspectives d'amendement, valent également pour le</w:t>
      </w:r>
    </w:p>
    <w:p>
      <w:r>
        <w:t>- 32 - sursis partiel dès lors que la référence au pronostic ressort implicitement du but et du sens de l'art. 43 CP. Ainsi, lorsque le pronostic quant au comportement futur de l'auteur n'est pas défavorable et qu'un sursis complet est exclu, la loi exige que l'exécution de la peine soit partiellement suspendue. En revanche, un pronostic défavorable exclut tout sursis, même partiel. En effet, s'il n'existe aucune perspective que l'auteur puisse être influencé de quelque manière par un sursis complet ou partiel, la peine doit être entièrement exécutée (ATF 134 IV 1 consid. 5.3.1). 3.5.2 En l’espèce, les conditions objectives du sursis sont réalisées. Les premiers juges ont toutefois estimé qu’un pronostic entièrement favorable était exclu s’agissant du prévenu, en l’absence d’une prise de conscience significative. Ils ont également retenu qu’un risque de récidive subsistait et qu’une partie de la peine privative de liberté devait être ferme pour permettre un amendement. Cette appréciation peut être suivie en l’occurrence. En effet, si l’on ne peut reprocher au prévenu de contester les infractions qui lui sont reprochées, on doit en revanche relever l’absence de toute introspection de sa part. Lors des débats de première instance, l’intéressé a certes reconnu que son comportement s’était avéré « totalement immature » dans le cadre de sa relation amoureuse et a admis s’être montré jaloux (jgt, p. 3), mais n’a pas hésité par ailleurs à se présenter comme la victime de A.Y.________, qui était « dure » avec lui, les responsabilités dans l’issue de la relation étant selon lui en définitive « partagées » (jgt, p. 7). Au cours de l’audience d’appel, L.________ a encore, par l’intermédiaire de son défenseur, fustigé le comportement de A.Y.________, en particulier les motivations financières qui l’auraient animée dans la procédure pénale, tout en dénonçant l’acharnement dont il aurait été l’objet de sa part. Il ressort de ces divers éléments que le prévenu refuse de prendre ses responsabilités et qu’un risque de récidive ne peut, partant, être exclu. Le pronostic s’avérant défavorable, une partie de la peine privative de liberté doit être ferme pour permettre la formulation d’un pronostic favorable concernant le solde de la peine.</w:t>
      </w:r>
    </w:p>
    <w:p>
      <w:r>
        <w:t>- 33 - En définitive, il convient de refuser à l’appelant l’octroi du sursis complet et de confirmer l’octroi d’un sursis partiel portant sur 12 mois. Le délai d’épreuve de trois ans doit lui aussi être confirmé. 3.6 L’appelant conteste le principe de l’allocation à A.Y.________ d’une indemnité pour tort moral et réparation du dommage ainsi que de dépens pénaux, indépendamment de la confirmation de sa condamnation. 3.6.1 Aux termes de l’art. 433 al. 1 let. a CPP, la partie plaignante peut demander au prévenu une juste indemnité pour les dépenses obligatoires occasionnées par la procédure lorsqu’elle obtient gain de cause. La partie plaignante adresse ses prétentions à l’autorité pénale et doit les chiffrer et les justifier (al. 2). Selon l'art. 49 CO (loi fédérale du 30 mars 1911 complétant le Code civil suisse ; RS 220),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 ATF 118 II 410 consid. 2a). La détermination de l'indemnité pour tort moral relève du pouvoir d'appréciation du juge qui statue selon les règles du droit et de l’équité (art. 4 CC [Code civil suisse du 20 décembre 1907 ; RS 210] ;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w:t>
      </w:r>
    </w:p>
    <w:p>
      <w:r>
        <w:t>- 34 - 2008 consid. 8.2 ; ATF 132 II 117 consid. 2.2.2 ; ATF 125 III 412 consid. 2a , JT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3.6.2 En l’espèce, l’appelant n’explique pas en quoi l’allocation à A.Y.________ d’une indemnité pour tort moral et pour son dommage, de même que l’allocation de dépens pénaux, seraient contraires au droit même en cas de confirmation de sa condamnation. Les premiers juges ont pourtant fondé le montant alloué à titre de réparation du dommage sur des pièces, tout en écartant les prétentions qui n’étaient pas documentées. Ils ont par ailleurs proportionné le montant de l’indemnité pour tort moral aux infractions finalement retenues à la charge du prévenu. Enfin, les dépens pénaux alloués à A.Y.________ ont eux aussi été basés sur une note d’honoraires jugée adéquate au regard de la cause. Aucun élément ne permet en l’occurrence de penser que le Tribunal correctionnel se serait écarté des règles applicables en matière d’indemnité et de dépens pénaux, de sorte que l'appel doit être rejeté sur ce point. 3.7 L’appelant conteste enfin la répartition des frais judiciaires opérée par le Tribunal correctionnel ainsi que son refus de lui octroyer une indemnité pour les dépenses occasionnées par l'exercice raisonnable de ses droits de procédure. Il conclut par ailleurs à l’allocation d’une indemnité pour tort moral à raison des infractions qui n’ont pas été retenues à sa charge au terme de la procédure de première instance. 3.7.1 Selon l’art. 426 al. 1 CPP, le prévenu doit supporter les frais de procédure s'il est condamné. Si sa condamnation n'est que partielle, les frais ne doivent être mis à sa charge que de manière proportionnelle, en</w:t>
      </w:r>
    </w:p>
    <w:p>
      <w:r>
        <w:t>- 35 - considération des frais liés à l'instruction des infractions pour lesquelles un verdict de culpabilité a été prononcé (Moreillon/Parein-Reymond, op. cit., n. 6 ad art. 426 CPP ; TF 6B_214/2013 du 17 février 2014 consid. 3.1). Dans ce cas, une certaine marge d'appréciation doit être laissée à l'autorité dès lors qu'il est difficile de déterminer avec exactitude les frais qui relèvent de chaque fait imputable ou non au condamné (TF 6B_45/2011 du 12 septembre 2011 consid. 3.1 ; TF 6S.421/2006 du 6 mars 2007 consid. 2.1.2 in fine). Aux termes de l’art. 429 al. 1 let. a CPP, le prévenu acquitté totalement ou en partie a droit à une indemnité pour les dépenses occasionnées par l'exercice raisonnable de ses droits de procédure. Selon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Lorsque, du fait de la procédure, le prévenu a subi une atteinte particulièrement grave à ses intérêts personnels au sens des art. 28 al. 3 CC ou 49 CO, il aura droit à la réparation de son tort moral. L'intensité de l'atteinte à la personnalité doit être analogue à celle requise dans le contexte de l'art. 49 CO (cf. TF 6B_928/2014 du 10 mars 2016 consid. 5.1).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(ATF 131 III 26 consid. 12.1 ; TF 1B_648/2012 du 11 juillet 2013 consid. 1.2). Il incombe à celle-ci de faire état des circonstances qui font qu'elle a ressenti l'atteinte comme étant subjectivement grave (ATF 120 II 97 consid. 2b). La gravité objective de l'atteinte doit être ressentie par elle comme une souffrance morale (ATF 128 IV 53 consid. 7a). Outre la détention, peut constituer une grave atteinte à la personnalité, par</w:t>
      </w:r>
    </w:p>
    <w:p>
      <w:r>
        <w:t>- 36 -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 ci est censée entraîner normalement chez une personne mise en cause (cf. arrêt 6B_928/2014 du 10 mars 2016 consid. 5.1 ; TF 6B_98/2015 du 23 juin 2016 consid. 3.2.1). Il n'y a pas lieu d'envisager une indemnisation du prévenu en cas de condamnation aux frais, l'obligation de supporter les frais et l'allocation d'une indemnité s'excluant réciproquement (ATF 137 IV 352 consid. 2.4.2, JdT 2012 IV 255).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(Griesser, in Donatsch/Hansjakob/Lieber [éd.], Kommentar zur Schweizerischen Straf- prozessordnung, 2e éd., Zurich/Bâle/Genève 2014, nn. 3-4 ad art. 430 CPP). Il est donc concevable d'indemniser, dans une mesure réduite, le prévenu qui doit supporter l'ensemble des frais de justice (TF 6B_300/2012 du 10 juin 2013 consid. 2.4). Lorsque les frais de procédure sont mis pour moitié à la charge de l’Etat en raison de l’acquittement du prévenu, l’octroi d’une demi-indemnité à titre de dépens est appropriée (cf. ATF 137 IV 352 consid. 2.4.2). Selon l’art. 442 al. 4 CPP, les autorités pénales peuvent compenser les créances portant sur des frais de procédure avec les indemnités accordées à la partie débitrice dans la même procédure pénale (cf. ATF 139 IV 243 consid. 5).</w:t>
      </w:r>
    </w:p>
    <w:p>
      <w:r>
        <w:t>- 37 - 3.7.2 En l’espèce, tout en relevant que les deux chefs d’accusation les plus graves, soit ceux de viol et de contrainte sexuelle, avaient été abandonnés, les premiers juges ont estimé que L.________ devait supporter deux tiers des frais de la cause. Ils ont en revanche omis de préciser que plusieurs faits figurant dans l’acte d’accusation, soit notamment les injures et voies de fait décrites aux chiffres 2 et 3 ou la contrainte décrite au chiffre 4, n’avaient finalement pas été retenus à sa charge. En définitive, au vu de l’acquittement partiel dont a bénéficié le prévenu au terme de la procédure de première instance, il convient ainsi de mettre la moitié des frais de première instance, soit un montant de 6'806 fr., à sa charge, le solde devant être laissé à la charge de l’Etat. Contrairement à ce qui a été retenu par le Tribunal correctionnel, L.________ a bien droit à une indemnité pour les dépenses occasionnées par l'exercice raisonnable de ses droits de procédure, dans la mesure où il a été partiellement acquitté. L’intéressé a présenté une note d’honoraires concernant l’activité de son défenseur dans le cadre de la procédure de première instance. Celle-ci fait état d’une activité de 63 heures au tarif horaire de 450 fr., ainsi que de frais à hauteur de 600 francs (P. 54). Il convient toutefois de retenir une durée d’activité raisonnable au regard de la complexité et de la gravité de la cause. Sur le vu des opérations effectuées par le conseil du prévenu et en l’absence de problématiques juridiques d’une complexité particulière, une durée de 30 heures d’activité – correspondant à 3 heures de conférence avec le client, 4 heures consacrées aux correspondances avec le Ministère public et le Tribunal correctionnel, 2 heures de conférence téléphonique avec le client, 2 heures de recherches juridiques et d’étude du dossier, 7 heures de préparation aux audiences et 12 heures d’audience – paraît raisonnable. Cette durée représente, sur la base d’un tarif horaire de 300 fr., prévu à l'art. 26a al. 3 TFIP (Tarif des frais de procédure et indemnités en matière pénale du 28 septembre 2010 ; RSV 312.03.1), un montant de 9'000 francs. Les débours figurant dans la note d’honoraires relevant des frais de secrétariat, il n’y a pas lieu d’allouer un montant à cet égard.</w:t>
      </w:r>
    </w:p>
    <w:p>
      <w:r>
        <w:t>- 38 - L’appelant ne saurait en revanche prétendre à l’octroi d’une indemnité pour tort moral fondée sur l’art. 429 al. 1 let. c CPP, même si les accusations de viol et de contrainte sexuelle n’ont finalement pas été retenues à sa charge. En effet, il ne ressort pas du dossier que L.________ aurait subi une atteinte particulièrement grave à ses intérêts personnels ensuite de la procédure ouverte à son encontre. Cette procédure ne s’est pas révélée particulièrement longue, n’a pas occasionné d’arrestation, de détention ou de perquisition. Le prévenu a d’ailleurs été entendu à une seule occasion par le Ministère public. Pour le reste, L.________ n’indique pas en quoi ses désagréments auraient excédé ceux de toute personne mise en cause dans une procédure pénale. L’indemnisation du prévenu fondée sur l’art. 429 al. 1 let. a CPP faisant suite à un acquittement partiel et les frais étant laissés pour moitié à la charge de l’Etat, il convient d’allouer au prévenu un montant proportionnel, soit de 4'500 fr. au total. Conformément à l’art. 442 al. 4 CPP, il y a lieu d’effectuer une compensation entre l’indemnité allouée à L.________ sur la base de l’art. 429 CPP pour la procédure de première instance et les frais judiciaires mis à sa charge. Un solde de 2'306 fr. (6'806 fr. – 4'500 fr.) reste ainsi dû par L.________ à l’Etat de Vaud. Il découle de ce qui précède que l’appel doit être très partiellement admis sur ce point et le jugement attaqué réformé dans le sens des considérants. 4. Appel joint du Ministère public Le Ministère public soutient que la peine infligée à L.________ par les premiers juges est trop clémente, dans la mesure où celui-ci persiste à minimiser la gravité de ses actes, en reporte pour partie la responsabilité sur A.Y.________ et ne laisse pas apparaître une réelle prise de conscience. Il estime qu’une peine de 24 mois, dont 12 avec sursis pendant quatre ans, devrait être prononcée.</w:t>
      </w:r>
    </w:p>
    <w:p>
      <w:r>
        <w:t>- 39 - 4.1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(TF 6B_129/2015 du 11 avril 2016 consid. 1 et les références citées). 4.2 En l’espèce, le prévenu est condamné pour dommages à la propriété, injure, menaces qualifiées et contrainte. Sa culpabilité doit être qualifiée de moyennement lourde à lourde. Si les faits se sont certes déroulés sur plusieurs mois – la pression sur A.Y.________ s’étant poursuivie au-delà de la rupture consécutive à l’altercation du 30 janvier 2013 –, et si L.________ n’a guère fait montre d’une prise de conscience, les premiers juges ont par ailleurs justement retenu à décharge l’absence d’antécédents ainsi que la légère diminution de responsabilité pénale mise en évidence par les experts psychiatres. Une peine privative de liberté de 18 mois, avec sursis partiel, peut elle aussi être considérée comme suffisante au regard des faits retenus à la charge du prévenu. Le Ministère public n’explique pas, dans son appel joint, en quoi une peine plus élevée</w:t>
      </w:r>
    </w:p>
    <w:p>
      <w:r>
        <w:t>- 40 - – soit lourde – se justifierait en l’occurrence. On relèvera encore, à cet égard, que la Procureure avait requis le prononcé d’une peine privative de liberté de 36 mois, dont 24 mois avec sursis pendant trois ans, devant le Tribunal correctionnel. Les accusations les plus graves, soit le viol et la contrainte sexuelle, n’ayant pas été retenues, on comprend mal pourquoi le prévenu devrait être condamné à une peine réduite seulement d’un tiers, la partie ferme devant, selon le Ministère public, s’élever à une année indépendamment de cet acquittement partiel. Il découle de ce qui précède que la peine prononcée par les premiers juges est proportionnée à la culpabilité de l’auteur et doit être confirmée. Il en va de même pour le sursis partiel octroyé par le Tribunal correctionnel (cf. supra, ch. 3.5). Mal fondé, l’appel joint du Ministère public doit ainsi être rejeté. 5. En définitive, l’appel de A.Y.________ et l’appel joint du Ministère public doivent être rejetés. L’appel de L.________ doit quant à lui être très partiellement admis et le jugement du 13 mai 2016 modifié dans le sens des considérants. L’appelant ayant obtenu partiellement gain de cause, de même que l’appelante qui avait notamment conclu à la condamnation du prévenu pour les infractions finalement retenues à sa charge, le premier pourrait prétendre à l’octroi d’une indemnité fondée sur l’art. 429 al. 1 let. a CPP, tandis que la seconde pourrait prétendre à l’octroi d’une juste indemnité fondée sur l’art. 433 CPP. Toutefois, ces deux montants, dont le premier serait mis à la charge de A.Y.________ tandis que le second serait mis à la charge de L.________, se compenseraient, de sorte qu’il n’y a pas lieu de les octroyer. Vu l'issue de la cause, les frais d’appel, constitués de l’émolument de jugement, par 4’330 fr. (art. 21 al. 1 et 2 TFIP), seront mis pour un tiers, soit par 1'443 fr. 30, à la charge de A.Y.________ et pour un</w:t>
      </w:r>
    </w:p>
    <w:p>
      <w:r>
        <w:t>- 41 - tiers, soit par 1'443 fr. 30, à la charge de L.________ (art. 428 al. 1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