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PE13.003222 vom 2. Februar 2015</w:t>
      </w:r>
    </w:p>
    <w:p>
      <w:r>
        <w:t>VD Tribunal cantonal, 2015-02-02, FR</w:t>
      </w:r>
    </w:p>
    <w:p>
      <w:r>
        <w:rPr>
          <w:b/>
        </w:rPr>
        <w:t xml:space="preserve">Quelle: </w:t>
      </w:r>
      <w:r>
        <w:t>https://mcp.opencaselaw.ch/entscheid/vd_gerichte_PE13.003222</w:t>
      </w:r>
    </w:p>
    <w:p>
      <w:r>
        <w:t>FR: VD_GERICHTE PE13.003222 du 2 février 2015</w:t>
      </w:r>
    </w:p>
    <w:p>
      <w:r>
        <w:t>IT: VD_GERICHTE PE13.003222 del 2 febbraio 2015</w:t>
      </w:r>
    </w:p>
    <w:p>
      <w:pPr>
        <w:pStyle w:val="Heading2"/>
      </w:pPr>
      <w:r>
        <w:t>Erwägungen</w:t>
      </w:r>
    </w:p>
    <w:p>
      <w:r>
        <w:rPr>
          <w:b/>
        </w:rPr>
        <w:t>E. 5</w:t>
      </w:r>
    </w:p>
    <w:p>
      <w:r>
        <w:t>L’appelant requiert l’allocation d’une indemnité pour les dépenses obligatoires occasionnées par la procédure au sens de l’art. 429 CPP, à hauteur de 10'034 fr. 60.</w:t>
      </w:r>
    </w:p>
    <w:p>
      <w:r>
        <w:rPr>
          <w:b/>
        </w:rPr>
        <w:t>E. 5.1</w:t>
      </w:r>
    </w:p>
    <w:p>
      <w:r>
        <w:t>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Il n’y a pas lieu d’envisager une indemnisation du prévenu en cas de condamnation aux frais, l’obligation de supporter les frais et l’allocation d’une indemnité s’excluant réciproquement (ATF 137 IV 352 c.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Yvona Griesser, in : Kommmentar zur Schweizerischen Strafprozessordnung, 2010, nn. 3-4 ad art. 430 CPP). Il est donc concevable d’indemniser, dans une mesure réduite, le prévenu qui doit supporter l’ensemble des frais de justice (Mizel/Rétornaz, in : Code de procédure pénale suisse, Commentaire romand, Bâle 2011,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w:t>
      </w:r>
    </w:p>
    <w:p>
      <w:r>
        <w:t>- 20 - reproché au prévenu relativement aux agissements ayant donné lieu au classement ou à l’acquittement partiel (cf. art. 430 CPP a contrario).</w:t>
      </w:r>
    </w:p>
    <w:p>
      <w:r>
        <w:rPr>
          <w:b/>
        </w:rPr>
        <w:t>E. 5.2</w:t>
      </w:r>
    </w:p>
    <w:p>
      <w:r>
        <w:t>En l’espèce, au vu de l’issue de l’appel, la requête d’indemnisation de l’appelant au sens de l’art. 429 CPP ne peut qu’être rejetée. Au surplus, pour les faits qui n’ont pas entraîné de condamnation pénale, on retiendra qu’au lieu de privilégier la discussion et la médiation avec son épouse, l’appelant a eu recours à la violence verbale et physique. Quelle que soit l’intensité de celle-ci, rien ne justifie qu’un homme s’en prenne physiquement à son épouse. Il a provoqué la discorde en s’immisçant dans la sphère privée de son épouse, l’épiant, fouillant ses affaires et la méprisant par les paroles, autant d’atteintes à la personnalité (cf. art. 28 CC) qui justifient de toute manière le refus d’une indemnisation au sens de l’art. 429 CPP (TF 6B_300/2013 du 3 juin 2013).</w:t>
      </w:r>
    </w:p>
    <w:p>
      <w:r>
        <w:rPr>
          <w:b/>
        </w:rPr>
        <w:t>E. 6</w:t>
      </w:r>
    </w:p>
    <w:p>
      <w:r>
        <w:t>En définitive, l’appel de A.B.________ doit être rejeté et le jugement rendu le 2 février 2015 par le Tribunal de police de l’arrondissement de La Côte confirmé.</w:t>
      </w:r>
    </w:p>
    <w:p>
      <w:r>
        <w:rPr>
          <w:b/>
        </w:rPr>
        <w:t>E. 7</w:t>
      </w:r>
    </w:p>
    <w:p>
      <w:r>
        <w:t>Vu l'issue de la cause, les frais d'appel doivent être mis à la charge de A.B.________ (art. 428 al. 1 CPP). Outre l'émolument, par 2'130 fr. (art. 21 al. 1 et 2 TFIP [Tarif des frais de procédure et indemnités en matière pénale du 28 septembre 2010; RSV 312.03.1]), ces frais comprennent l’indemnité allouée au conseil d’office de l’intimée, par 1’128 fr. 60, TVA et débours compris. A.B.________ ne sera tenu de rembourser l’indemnité allouée au conseil d’office de B.B.________ que lorsque sa situation financière le permettra (art. 135 al. 4 let. a et 426 al. 4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