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PE13.003135 vom 10. April 2014</w:t>
      </w:r>
    </w:p>
    <w:p>
      <w:r>
        <w:t>VD Tribunal cantonal, 2014-04-10, FR</w:t>
      </w:r>
    </w:p>
    <w:p>
      <w:r>
        <w:rPr>
          <w:b/>
        </w:rPr>
        <w:t xml:space="preserve">Quelle: </w:t>
      </w:r>
      <w:r>
        <w:t>https://mcp.opencaselaw.ch/entscheid/vd_gerichte_PE13.003135</w:t>
      </w:r>
    </w:p>
    <w:p>
      <w:r>
        <w:t>FR: VD_GERICHTE PE13.003135 du 10 avril 2014</w:t>
      </w:r>
    </w:p>
    <w:p>
      <w:r>
        <w:t>IT: VD_GERICHTE PE13.003135 del 10 aprile 2014</w:t>
      </w:r>
    </w:p>
    <w:p>
      <w:pPr>
        <w:pStyle w:val="Heading2"/>
      </w:pPr>
      <w:r>
        <w:t>Erwägungen</w:t>
      </w:r>
    </w:p>
    <w:p>
      <w:r>
        <w:rPr>
          <w:b/>
        </w:rPr>
        <w:t>E. 3</w:t>
      </w:r>
    </w:p>
    <w:p>
      <w:r>
        <w:t>S.________ indique, dans son recours, que les personnes qu'elle accuse n'auraient jamais été jugées, ni entendues par un tribunal. Cette affirmation est erronée : le même état de fait ou un état de fait substantiellement identique à celui qu'elle évoque dans sa plainte du 21 février 2014 a déjà donné lieu (depuis 2008) à de multiples refus de suivre et ordonnances de non-entrée en matière (la dernière, également en force, date du 6 mai 2013) ensuite des plaintes pénales dirigées par la prénommée contre toutes les personnes à nouveau visées dans la présente procédure (X.________ N.________, G.________ G.________, K.________ Dans la mesure où la plaignante n’a pas fait état de nouveaux moyens de preuve ou de faits nouveaux qui révèleraient une responsabilité pénale de l’un ou l’autre des prévenus et qui ne ressortiraient pas des dossiers antérieurs, c'est à juste titre que le Procureur n'est pas entré en matière (art. 310 al.1 let. b CPP) et il importe peu que S.________ se soit référée pour la première fois à la cause civile PP09.028723-STP/ECO/PCE. On relèvera à cet égard que ni la CEDH, ni les lois suisses ne permettent le renvoi devant un tribunal de jugement de personnes faussement accusées d'infractions, dont il ressort clairement qu'elles sont innocentes (l'art. 310 al. 1 let. a CPP). Enfin, vu l'attitude manifestement quérulente dont S.________ persiste à faire montre, il était légitime de classer sa plainte sans suite, ni frais et d'attirer son attention sur le fait qu'il sera procédé de la sorte pour toute autre et future plainte ayant trait à ce même litige successoral. En définitive, l'ordonnance attaquée échappe à la critique.</w:t>
      </w:r>
    </w:p>
    <w:p>
      <w:r>
        <w:t>- 10 -</w:t>
      </w:r>
    </w:p>
    <w:p>
      <w:r>
        <w:rPr>
          <w:b/>
        </w:rPr>
        <w:t>E. 4</w:t>
      </w:r>
    </w:p>
    <w:p>
      <w:r>
        <w:t>Manifestement mal fondé, le recours doit être rejeté sans autre échange d’écritures (art. 390 al. 2 CPP) et l’ordonnance attaquée confirmée. Les frais de la procédure de recours, constitués en l’espèce du seul émolument d'arrêt (art. 422 al. 1 CPP), par 990 fr. (art. 20 al. 1 TFIP [tarif des frais de procédure et indemnités en matière pénale du 28 septembre 2010; RSV 312.03.1]), seront donc mis à la charge de la recourante, qui succombe (art. 428 al. 1 CPP), sous déduction du montant de 440 fr. déjà versé à titre de sûretés par S.________ le 12 mars 2014 (art.</w:t>
      </w:r>
    </w:p>
    <w:p>
      <w:r>
        <w:rPr>
          <w:b/>
        </w:rPr>
        <w:t>E. 7</w:t>
      </w:r>
    </w:p>
    <w:p>
      <w:r>
        <w:t>TFIP). Par ces motifs, la Chambre des recours pénale, statuant à huis clos prononce : I. Le recours est rejeté. II. L'ordonnance du 28 février 2014 est confirmée. III. Les frais de la procédure de recours, par 990 fr. (neuf cent nonante francs), sont mis à la charge de la recourante. IV. Le montant de 440 fr. (quatre cent quarante francs) déjà versé par la recourante à titre de sûretés est imputé sur les frais mis à sa charge au chiffre III ci-dessus. V. Le présent arrêt est exécutoire. Le président : La greffière :</w:t>
      </w:r>
    </w:p>
    <w:p>
      <w:r>
        <w:t>- 11 - Du L'arrêt qui précède, dont la rédaction a été approuvée à huis clos, est notifié, par l'envoi d'une copie complète, à : - S.________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