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PE13.002747 vom 22. April 2015</w:t>
      </w:r>
    </w:p>
    <w:p>
      <w:r>
        <w:t>VD Tribunal cantonal, 2015-04-22, FR</w:t>
      </w:r>
    </w:p>
    <w:p>
      <w:r>
        <w:rPr>
          <w:b/>
        </w:rPr>
        <w:t xml:space="preserve">Quelle: </w:t>
      </w:r>
      <w:r>
        <w:t>https://mcp.opencaselaw.ch/entscheid/vd_gerichte_PE13.002747</w:t>
      </w:r>
    </w:p>
    <w:p>
      <w:r>
        <w:t>FR: VD_GERICHTE PE13.002747 du 22 avril 2015</w:t>
      </w:r>
    </w:p>
    <w:p>
      <w:r>
        <w:t>IT: VD_GERICHTE PE13.002747 del 22 aprile 2015</w:t>
      </w:r>
    </w:p>
    <w:p>
      <w:pPr>
        <w:pStyle w:val="Heading2"/>
      </w:pPr>
      <w:r>
        <w:t>Erwägungen</w:t>
      </w:r>
    </w:p>
    <w:p>
      <w:r>
        <w:rPr>
          <w:b/>
        </w:rPr>
        <w:t>E. 1</w:t>
      </w:r>
    </w:p>
    <w:p>
      <w:r>
        <w:t>A.________ est né le [...] 1972 à [...], en Argovie et a passé son enfance à [...], en Italie, auprès de sa grand-mère. Après avoir suivi une formation d’informaticien et obtenu un diplôme à Pescara, il a travaillé dans ce domaine en Italie, puis en Suisse depuis 2001. À cette époque, il a toutefois rencontré des problèmes de toxicomanie et n’a plus exercé d’activité, bénéficiant depuis lors de l’aide sociale. Il est célibataire et père de deux enfants, dont l’un est majeur et l’autre mineur. Au moment des faits de la présente cause, il vivait avec une amie à [...]. Depuis l’automne 2014, il vit toutefois auprès de ses parents en Argovie, précisant qu’il y a officiellement déposé ses papiers le 1er juillet 2015. Il reçoit de l’aide sociale un subside mensuel de 980 fr. étant précisé qu’il n’a encore perçu aucun montant pour les mois de juillet et d’août 2015. À ces indemnités s’ajoutent les bénéfices qu’il retire des ventes d’appareils électroniques qu’il propose sur Internet, dont le montant oscille entre 100 fr. et 500 fr. par mois. À l’audience d’appel, A.________ a précisé qu’il regrettait ce qui s’était passé et qu’il s’engageait à rembourser les plaignants dès qu’il aurait de quoi vivre, ajoutant qu’il espérait obtenir un emploi auprès d’un ami dès le mois de novembre 2015. Il a des dettes pour environ 110'000 fr., la moitié faisant l’objet de poursuites et l’autre moitié faisant l’objet d’actes de défaut de biens. Le casier judiciaire suisse de A.________ mentionne les quatre condamnations suivantes : - 24 janvier 2003 : Bezirksgericht Zurich, crime contre les stupéfiants, contravention à la LStup, utilisation frauduleuse d’un ordinateur, escroquerie, faux dans les titres, vol, dommages à la propriété, violation de domicile, vol d’usage, circuler malgré un retrait ou refus de permis de</w:t>
      </w:r>
    </w:p>
    <w:p>
      <w:r>
        <w:t>- 9 - conduire, contravention à la LF sur les transports publics, emprisonnement 20 mois, amende 300 fr., établissement pour toxicomanes 44 al.1 CP ; - 21 septembre 2004, Bezirksanwaltschaft Zurich, vol, tentative de vol, infractions d’importance mineure, dommages à la propriété, contravention à la LStup, emprisonnement 30 jours avec sursis pendant 5 ans et amende 300 fr. ; - 12 mai 2006, Bezirksgericht Zurich, vol par métier, escroquerie, dommages à la propriété, contravention à la LStup, emprisonnement 90 jours ; - 27 septembre 2006, Bezirksgericht Zurich, vol par métier, escroquerie, dommages à la propriété, contravention à la LStup, emprisonnement 5 mois.</w:t>
      </w:r>
    </w:p>
    <w:p>
      <w:r>
        <w:rPr>
          <w:b/>
        </w:rPr>
        <w:t>E. 2</w:t>
      </w:r>
    </w:p>
    <w:p>
      <w:r>
        <w:t>Alors qu’il vivait auprès de son amie de l’époque à [...], A.________ a régulièrement fait paraître des annonces sur les sites Internet « [...] » et « [...] » afin de vendre des smartphones. Il a admis avoir reçu, respectivement le 15 octobre 2012, la somme de 310 fr. de C.________, le 16 octobre 2012, la somme de 360 fr. de H.________, le 22 octobre 2012, la somme de 360 fr. de R.________ et enfin, le 3 janvier 2013, la somme de 359 fr. de V.________. Pour autant, dans les quatre cas, le prévenu n’a pas envoyé aux clients la marchandise qu’ils avaient commandée et ne les pas remboursés, malgré les multiples réclamations de ces derniers, qui ont déposé plainte.</w:t>
      </w:r>
    </w:p>
    <w:p>
      <w:r>
        <w:rPr>
          <w:b/>
        </w:rPr>
        <w:t>E. 3</w:t>
      </w:r>
    </w:p>
    <w:p>
      <w:r>
        <w:t>Il convient d’examiner en premier lieu la requête d’expertise psychiatrique déposée par l’appelant.</w:t>
      </w:r>
    </w:p>
    <w:p>
      <w:r>
        <w:rPr>
          <w:b/>
        </w:rPr>
        <w:t>E. 3.1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 3.3). Selon le Tribunal fédéral, même des doutes minimes peuvent justifier la nécessité d'une expertise (TF 6S.17/2002 du 7 mai 2002 c.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 4a; ATF 102 IV 74 c. 1; TF 6B_341/2010 du 20 juillet 2010 c. 3.3.1). Selon l’art. 182 CPP, le ministère public et les tribunaux ont recours à un ou plusieurs experts lorsqu’ils ne disposent pas des</w:t>
      </w:r>
    </w:p>
    <w:p>
      <w:r>
        <w:t>- 12 -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Kuhn/Jeanneret (éd.), Commentaire romand, Code de procédure pénale suisse, Bâle 2011, nn. 9 et 16 ad art. 184 CPP; Donatsch, in : Donatsch/ Hansjakob/Lieber [éd.], Kommentar zur Schweizerischen Strafprozessordnung, 2e éd., Zurich/Bâle/Genève 2014, n. 36 ad art. 184 CPP).</w:t>
      </w:r>
    </w:p>
    <w:p>
      <w:r>
        <w:rPr>
          <w:b/>
        </w:rPr>
        <w:t>E. 3.2</w:t>
      </w:r>
    </w:p>
    <w:p>
      <w:r>
        <w:t>En l’espèce, il ne ressort pas du dossier que l’appelant aurait déjà fait l’objet d’une expertise psychiatrique – ni qu’il aurait demandé à être soumis à une telle expertise – nonobstant quatre condamnations pour des infractions similaires commises entre 2003 et 2006, dont l’une prononcée en janvier 2003 de 20 mois de privation de liberté. On peut donc considérer que l’appelant n’estimait pas nécessaire une telle expertise jusqu’à présent. Surtout, aucun élément au dossier ne fait ressortir des doutes sur sa responsabilité pénale. Le seul fait d’être sous médicaments et méthadone n’est en effet pas en soi de nature à entraîner de tels doutes. On relève d’ailleurs que les auditions de l’appelant tout au long de l’enquête ainsi que devant le Tribunal de première instance ou encore à l’audience d’appel, ne font ressortir aucuns troubles de la conscience et de la volonté s’agissant des faits punissables. L’appelant a d’ailleurs expliqué aux débats de première instance qu’il n’est plus toxicomane (jgt., p. 7). Au vu de ce qui précède, il ne se justifie pas d’ordonner l’expertise psychiatrique requise par l’appelant.</w:t>
      </w:r>
    </w:p>
    <w:p>
      <w:r>
        <w:rPr>
          <w:b/>
        </w:rPr>
        <w:t>E. 4</w:t>
      </w:r>
    </w:p>
    <w:p>
      <w:r>
        <w:t>Ayant finalement admis les faits qui lui sont reprochés, l’appelant conteste uniquement la nature de la peine infligée. Il soutient</w:t>
      </w:r>
    </w:p>
    <w:p>
      <w:r>
        <w:t>- 13 - avoir agi sous l’emprise de la drogue et ajoute que sa situation personnelle s’est stabilisée depuis lors, puisqu’il ne consomme plus de stupéfiants, qu’il vit chez ses parents et qu’il espère obtenir un emploi auprès d’un ami dès le mois de novembre 2015. Il relève en outre avoir admis les faits et collaboré avec la justice et explique enfin qu’il regrette ses actes et s’engage à rembourser ses victimes dès qu’il en aura les moyens. Il considère qu’au vu de ces éléments, c’est une peine pécuniaire qui aurait dû être prononcée à son encontre.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4.1.2</w:t>
      </w:r>
    </w:p>
    <w:p>
      <w:r>
        <w:t>Dans le domaine de la petite criminalité, la sanction prononcée est en règle générale la peine pécuniaire (art. 34 CP) et le travail d’intérêt général</w:t>
      </w:r>
    </w:p>
    <w:p>
      <w:r>
        <w:t>- 14 - (art. 37 CP). La criminalité moyenne est quant à elle généralement sanctionnée par la peine pécuniaire et la peine privative de liberté. La peine pécuniaire constitue ainsi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6B_128/2011 du 14 juin 2011 c. 3.1).</w:t>
      </w:r>
    </w:p>
    <w:p>
      <w:r>
        <w:rPr>
          <w:b/>
        </w:rPr>
        <w:t>E. 4.2</w:t>
      </w:r>
    </w:p>
    <w:p>
      <w:r>
        <w:t>En l’espèce, le premier juge a retenu que la culpabilité de l’appelant était importante dans la mesure où il avait agi sans considération pour les consommateurs qu’il avait grugés. À charge, il a retenu la répétition des actes et la durée de l’activité délictueuse, les antécédents, ainsi que le concours d’infractions. À décharge, le premier juge a pris en considération la situation personnelle et financière délicate de l’appelant au moment des faits, son passé de toxicomane et enfin les regrets exprimés aux débats. Compte tenu de l’ensemble de ces éléments, le premier juge a considéré que seule une peine privative de liberté entrait en ligne de compte (jgt., p. 15).</w:t>
      </w:r>
    </w:p>
    <w:p>
      <w:r>
        <w:t>- 15 - Cette appréciation des faits, complète et convaincante, ne prête pas le flanc à la critique et doit être confirmée. La Cour d’appel constate que l’appelant se pose en victime de sa toxicomanie et de sa dépression, faisant valoir qu’il n’a agi qu’en raison de son état de santé. Il explique être suivi pour une dépression et prendre de la méthadone ainsi que de nombreux autres médicaments depuis huit ans (jgt., p. 6), sans toutefois démontrer que son état de santé se serait aggravé depuis le début de sa toxicomanie en 2001. Partant, l’état de santé de l’appelant ne saurait justifier à lui seul ses antécédents pénaux – notamment pour escroquerie – des 24 janvier 2003, 12 mai 2006 et enfin 27 septembre 2006. En outre, contrairement à ce qu’il affirme, l’appelant n’a pas immédiatement admis les faits reprochés, ni collaboré à l’enquête, puisqu’il les contestait encore aux débats de première instance (jgt., p. 7). Enfin, nonobstant ses regrets, répétés en appel, force est de constater que l’appelant n’a rien entrepris pour rembourser ses victimes, alors qu’il vit gratuitement chez ses parents et qu’il bénéficie de l’aide sociale en sus des quelques centaines de francs retirés de son activité de vente sur Internet. Le fait que l’une des victimes aurait refusé sa proposition de remboursement à hauteur de 50 fr. par mois n’empêchait pas l’appelant de proposer aux autres clients grugés de les dédommager, à tout le moins partiellement. Dans le cas d’espèce, une peine pécuniaire n’aurait aucun effet préventif et c’est bien une peine privative de liberté qu’il convient de prononcer. La quotité de la peine, que l’appelant ne conteste au demeurant pas, a été fixée en tenant compte de tous les éléments déterminants de l’art. 47 CP. Elle doit dès lors être confirmée.</w:t>
      </w:r>
    </w:p>
    <w:p>
      <w:r>
        <w:rPr>
          <w:b/>
        </w:rPr>
        <w:t>E. 5</w:t>
      </w:r>
    </w:p>
    <w:p>
      <w:r>
        <w:t>L’appelant relève que depuis les faits qui lui sont reprochés, sa situation personnelle s’est stabilisée, expliquant qu’il n’est plus toxicomane et qu’il vit chez ses parents. Il considère ainsi qu’il ne présente aucun risque de récidive et que le pronostic posé le concernant est favorable. Il demande dès lors que la peine prononcée à son encontre soit assortie du sursis.</w:t>
      </w:r>
    </w:p>
    <w:p>
      <w:r>
        <w:t>- 16 -</w:t>
      </w:r>
    </w:p>
    <w:p>
      <w:r>
        <w:rPr>
          <w:b/>
        </w:rPr>
        <w:t>E. 5.1</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5.2</w:t>
      </w:r>
    </w:p>
    <w:p>
      <w:r>
        <w:t>En l’espèce, le premier juge a exclu le sursis au vu des antécédents pénaux du prévenu, pour des infractions contre le patrimoine, ce qui démontrait qu’il n’avait pas pris conscience de ses fautes. Il a également relevé que le prévenu continuait à vendre des appareils électroniques par Internet, de sorte que le risque de réitération était élevé. Cette appréciation ne peut qu’être confirmée. En effet, la Cour d’appel constate que sur les quatre condamnations dont il a fait l’objet, l’appelant a déjà été condamné trois fois pour escroquerie, en 2001 et en 2006, à des peines privatives de liberté fermes de 20 mois, de 90 jours et</w:t>
      </w:r>
    </w:p>
    <w:p>
      <w:r>
        <w:t>- 17 - enfin de 5 mois. Cela ne l’a toutefois pas dissuadé de poursuivre ses agissements délictueux. Or, comme relevé à raison par le premier juge, l’appelant continue de vendre des appareils électroniques sur Internet. Sa situation économique ne s’est pas améliorée, l’appelant évoquant devant la Cour de céans de vagues projets d’embauche par un ami pour novembre 2015. Dans ces circonstances, rien ne permet d’exclure une récidive. Compte tenu de ce qui précède, seul un pronostic défavorable peut être posé, le sursis étant ainsi exclu.</w:t>
      </w:r>
    </w:p>
    <w:p>
      <w:r>
        <w:rPr>
          <w:b/>
        </w:rPr>
        <w:t>E. 6</w:t>
      </w:r>
    </w:p>
    <w:p>
      <w:r>
        <w:t>En définitive, l’appel de A.________ est rejeté et le jugement rendu le 22 avril 2015 par le Tribunal de police de l’arrondissement de La Côte doit être confirmé. Vu l'issue de la cause, les frais d'appel doivent être mis à la charge de A.________, qui succombe (art. 428 al. 1 CPP). Outre l'émolument, qui se monte à 1’720 fr. (art. 21 al. 1 et 2 TFIP [Tarif des frais de procédure et indemnités en matière pénale du 28 septembre 2010; RSV 312.03.1]), ces frais comprennent l’indemnité allouée à son défenseur d’office.</w:t>
      </w:r>
    </w:p>
    <w:p>
      <w:r>
        <w:rPr>
          <w:b/>
        </w:rPr>
        <w:t>E. 7</w:t>
      </w:r>
    </w:p>
    <w:p>
      <w:r>
        <w:t>Aux termes de l’art. 135 al. 1 CPP, le défenseur d’office est indemnisé conformément au tarif des avocats de la Confédération ou du canton du for du procès.</w:t>
      </w:r>
    </w:p>
    <w:p>
      <w:r>
        <w:rPr>
          <w:b/>
        </w:rPr>
        <w:t>E. 7.1</w:t>
      </w:r>
    </w:p>
    <w:p>
      <w:r>
        <w:t>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w:t>
      </w:r>
    </w:p>
    <w:p>
      <w:r>
        <w:t>- 18 - enfin, de la responsabilité qu’il a assumée (TF 6B_745/2009 du 12 novembre 2009 c. 10.1 et les réf. citées).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7.2</w:t>
      </w:r>
    </w:p>
    <w:p>
      <w:r>
        <w:t>Dans la liste des opérations produite à l’audience d’appel, Me Véronique Fontana a indiqué avoir consacré plus de 9 heures à l’exercice de son mandat, sans toutefois préciser le temps dédié à chacune des opérations figurant dans sa liste. Il incombe donc à la Cour d’appel d’estimer elle-même la durée nécessaire aux interventions durant la procédure d’appel. À ce titre, il sera retenu un total de 6 heures pour le calcul de l’indemnité due au défenseur d’office. Ce calcul tient compte du fait que l’appelant ne conteste que la peine et que la déclaration d’appel n’est que très succinctement motivée. Il convient de retenir en outre une vacation forfaitaire de 120 fr., ainsi que des débours annoncés par 7 francs. L’indemnité allouée à Me Véronique Fontana pour la procédure d’appel sera dès lors arrêtée à 1'303 fr. 50, TVA et débours inclus. A.________ ne sera tenu de rembourser à l’Etat le montant de l’indemnité en faveur de son conseil d’office que lorsque sa situation financière le permettra (art. 135 al. 4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