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PE13.002329 vom 26. Mai 2017</w:t>
      </w:r>
    </w:p>
    <w:p>
      <w:r>
        <w:t>VD Tribunal cantonal, 2017-05-26, FR</w:t>
      </w:r>
    </w:p>
    <w:p>
      <w:r>
        <w:rPr>
          <w:b/>
        </w:rPr>
        <w:t xml:space="preserve">Quelle: </w:t>
      </w:r>
      <w:r>
        <w:t>https://mcp.opencaselaw.ch/entscheid/vd_gerichte_PE13.002329</w:t>
      </w:r>
    </w:p>
    <w:p>
      <w:r>
        <w:t>FR: VD_GERICHTE PE13.002329 du 26 mai 2017</w:t>
      </w:r>
    </w:p>
    <w:p>
      <w:r>
        <w:t>IT: VD_GERICHTE PE13.002329 del 26 maggio 2017</w:t>
      </w:r>
    </w:p>
    <w:p>
      <w:pPr>
        <w:pStyle w:val="Heading2"/>
      </w:pPr>
      <w:r>
        <w:t>Erwägungen</w:t>
      </w:r>
    </w:p>
    <w:p>
      <w:r>
        <w:rPr>
          <w:b/>
        </w:rPr>
        <w:t>E. 25</w:t>
      </w:r>
    </w:p>
    <w:p>
      <w:r>
        <w:t>novembre 2006] d’alternatives à l’ablation des deux seins »; « Je pense que s’il y avait eu une alternative à l’ablation des seins, ma sœur aurait fait autrement ». De surcroît, ainsi que l’a relevé la procureure (ord. p. 7), ces déclarations vont à l’encontre des pièces qui figurent au dossier et notamment des notes manuscrites précitées. En définitive, la constatation objective que, par deux fois – soit les 6 décembre 2006 et 9 janvier 2007 –, une date avait été arrêtée pour une quadrantectomie exclut manifestement que le diagnostic de cancer invasif aurait été posé et que seule la mastectomie aurait été évoquée. L’argumentation de la recourante tombe ainsi à faux et il convient dès lors de confirmer l’analyse du Ministère public, selon laquelle les médecins en cause ont rendu vraisemblable que K.________ a été suffisamment informée et a donné son consentement à l’opération litigieuse de manière éclairée. Partant, une condamnation des médecins mis en cause au sens</w:t>
      </w:r>
    </w:p>
    <w:p>
      <w:r>
        <w:t>- 15 - de l’art. 122 CP apparaît bien exclue, de sorte que la Procureure a classé la procédure à juste titre. 2.5 La recourante reproche encore, accessoirement, au Dr J.________ de s’être retiré de l’équipe opératoire à son insu, alors qu’il aurait pertinemment su que sa présence aurait été la condition qui avait prévalu au choix de la Clinique de [...]. Ce dernier point n’est pas établi à satisfaction de droit. Cela étant, le Dr J.________ a précisé que s’il avait assisté à l’opération, cela n’aurait rien changé, dès lors que l’opération d’ablation de la glande mammaire était simple et qu’elle était parfaitement dans les compétences d’un plasticien (PV aud. 6, l. 333 à 335). De surcroît, le Dr H.________ a notamment exposé dans un courrier du 24 juin 2009 au conseil de la plaignante (P. 4/10) que, quand il était présent, le Dr J.________ était souvent assistant. Du reste, ainsi qu’on le verra au considérant qui suit, la plaignante ne critique pas l’étape de l’ablation des glandes mammaires, qui, selon elle, aurait dû être effectuée par le Dr J.________, mais l’étape de la reconstruction. Quoi qu’il en soit, le moyen soulevé par la plaignante est sans incidence quant à la question de savoir si elle a ou non donné un consentement éclairé à la mastectomie qu’elle a subie, respectivement quant au classement de la procédure en relation avec l’infraction réprimée par l’art. 122 CP. 2.6 La recourante reproche enfin au Dr H.________ de n’avoir pas respecté son choix quant aux prothèses mammaires à poser, ce qui démontrerait l’excès de « paternalisme médical » dont auraient fait preuve, de manière inadmissible, les médecins mis en cause. Cet argument tombe à faux, dès lors que par lettre du 9 novembre 2007 adressée au conseil de K.________ (P. 4/20; PV aud. 3 p. 3; PV aud. 6 l. 358 à 364), H.________ expose de manière extrêmement claire et convaincante pourquoi, sur le plan médical, il est très rare de pouvoir poser une prothèse définitive directement, à savoir</w:t>
      </w:r>
    </w:p>
    <w:p>
      <w:r>
        <w:t>- 16 - pour éviter une compression des capillaires menant à un manque d’irrigation et à une nécrose de la peau. 3. Au vu de ce qui précède, le recours, manifestement mal fondé, doit être rejeté sans autre échange d’écritures (art. 390 al. 2 CPP) et l’ordonnance attaquée confirmée. Les frais de la procédure de recours, constitués en l’espèce de l’émolument d'arrêt, par 1'540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28 avril 2017 est confirmée. III. Les frais d’arrêt, par 1'540 fr. (mille cinq cent quarante francs), sont mis à la charge de la recourante. IV. L’arrêt est exécutoire. Le président : Le greffier : Du Le présent arrêt, dont la rédaction a été approuvée à huis clos, est notifié, par l'envoi d'une copie complète, à : - Me Laurent Nephtali, avocat (pour K.________), - Ministère public central,</w:t>
      </w:r>
    </w:p>
    <w:p>
      <w:r>
        <w:t>- 17 -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