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PE13.002099 vom 20. August 2014</w:t>
      </w:r>
    </w:p>
    <w:p>
      <w:r>
        <w:t>VD Tribunal cantonal, 2014-08-20, FR</w:t>
      </w:r>
    </w:p>
    <w:p>
      <w:r>
        <w:rPr>
          <w:b/>
        </w:rPr>
        <w:t xml:space="preserve">Quelle: </w:t>
      </w:r>
      <w:r>
        <w:t>https://mcp.opencaselaw.ch/entscheid/vd_gerichte_PE13.002099</w:t>
      </w:r>
    </w:p>
    <w:p>
      <w:r>
        <w:t>FR: VD_GERICHTE PE13.002099 du 20 août 2014</w:t>
      </w:r>
    </w:p>
    <w:p>
      <w:r>
        <w:t>IT: VD_GERICHTE PE13.002099 del 20 agosto 2014</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t>- 8 - Ces trois motifs ne sont pas cumulatifs, le fait que l'un d'eux au moins soit réalisé permet de justifier la détention provisoire.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le Tribunal des mesures de contrainte constate qu'il existe de graves soupçons de culpabilité à l'encontre de H.________. A ce sujet, il renvoie à ses ordonnances antérieures confirmées par les sentences cantonale et fédérale. Il le fait à juste titre, dès lors rien ne permet de les remettre en cause.</w:t>
      </w:r>
    </w:p>
    <w:p>
      <w:r>
        <w:rPr>
          <w:b/>
        </w:rPr>
        <w:t>E. 3</w:t>
      </w:r>
    </w:p>
    <w:p>
      <w:r>
        <w:t>Le recourant conteste l'existence d'un risque de récidive.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w:t>
      </w:r>
    </w:p>
    <w:p>
      <w:r>
        <w:t>- 9 - permettre de faire prévaloir l'intérêt à la sécurité publique sur la liberté personnelle du prévenu (ATF 137 IV 13 c. 4.5). b) Dans son arrêt du 19 juin 2014 (TF 1B_201/2014), la Ire Cour de droit public du Tribunal fédéral a admis la réalité d'un risque de récidive, en considérant notamment, outre les motifs déjà retenus par la Cour de céans, que l'activité délictueuse déployée par le recourant était de nature à compromettre sérieusement la sécurité d'autrui au sens de l'art. 221 al. 1 let. c CPP et que le risque de récidive pouvait aussi être retenu, dès lors qu'il s'agissait, conformément au principe de célérité, d'éviter que la procédure ne soit sans cesse compliquée et prolongée par la commission de nouveaux délits (c. 3.2). En l'espèce, aucun élément nouveau ressortant de l'enquête et/ou du recours de H.________ ne vient infirmer cette appréciation.</w:t>
      </w:r>
    </w:p>
    <w:p>
      <w:r>
        <w:rPr>
          <w:b/>
        </w:rPr>
        <w:t>E. 4</w:t>
      </w:r>
    </w:p>
    <w:p>
      <w:r>
        <w:t>H.________ conteste l'existence d'un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Le risque de fuite est avéré au vu de la vie d'errance du prévenu, sachant qu'il pourrait, même à ce stade de la procédure et en dépit des attaches dont il se prévaut, être tenté quitter notre territoire pour se soustraire à la peine privative de liberté encourue, qui pourrait être de plus de deux ans.</w:t>
      </w:r>
    </w:p>
    <w:p>
      <w:r>
        <w:t>- 10 - c) L'existence d'un risque de réitération et de fuite dispense l'autorité de céans d'examiner si le prévenu présente aussi un risque de collusion. Les conditions de la détention provisoire demeurent donc réunies.</w:t>
      </w:r>
    </w:p>
    <w:p>
      <w:r>
        <w:rPr>
          <w:b/>
        </w:rPr>
        <w:t>E. 5</w:t>
      </w:r>
    </w:p>
    <w:p>
      <w:r>
        <w:t>Il reste à examiner si, comme l'invoque le recourant, cette mesure serait trop incisive à ce stade, si une mesure de substitution – telle que le port d'un bracelet électronique – pourrait pallier efficacement les risques existants, et si le principe de proportionnalité demeure respecté. a)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surveillance électronique ne constitue pas en soi une mesure de substitution mais uniquement un moyen de contrôler l'exécution d'une telle mesure : s'il apparaît d'emblée que cette mesure n'est pas apte à prévenir le risque de fuite, la surveillance électronique ne saurait être mise en œuvre (TF 1B_447/2011 du 21 septembre 2011 c. 3.4). b)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w:t>
      </w:r>
    </w:p>
    <w:p>
      <w:r>
        <w:t>- 11 - du 31 août 2011 c. 4.1; ATF 133 I 168 c. 4.1; ATF 132 I 21 c. 4.1). Toutefois, le fait que la peine encourue puisse être assortie du sursis, total ou partiel, n'est pas déterminant sous l'angle de la proportionnalité (ATF 133 I 270 c. 3.4.2). c) En l'espèce le port d'un bracelet électronique, fût-il couplé à une assignation à domicile, ne saurait parer efficacement le risque de fuite à défaut de GPS (CREP 4 juillet 2014/446). Pour le reste, H.________ est détenu depuis le 1er mai 2014. Dans son arrêt du 19 juin 2014 (TF 1B_201/2014), le Tribunal fédéral a admis que la mesure détention provisoire ordonnée pour une durée de trois mois respectait le principe de la proportionnalité dès lors que, compte tenu des charges actuelles (notamment l'acte d'ordre sexuel avec une personne incapable de résistance) et du risque concret de révocation des peines déjà prononcées avec sursis (soit au total environ 500 jours de privation de liberté), les quatre mois de détention provisoire n'apparaissaient en rien excessifs (cf. 3. 3). La prolongation de la détention de H.________ de trois mois jusqu'au 11 novembre 2014 demeure proportionnée au regard de ces critères.</w:t>
      </w:r>
    </w:p>
    <w:p>
      <w:r>
        <w:rPr>
          <w:b/>
        </w:rPr>
        <w:t>E. 6</w:t>
      </w:r>
    </w:p>
    <w:p>
      <w:r>
        <w:t>Il s'ensuit que le recours de H.________, mal fondé, doit être rejeté et l’ordonnance attaquée confirmée. Les frais de la procédure de recours, constitués en l’espèce de l’émolument d'arrêt, par 1’210 fr. (art. 20 al. 1 TFJP [tarif des frais judiciaires pénaux; RSV 312.03.1]) et des frais imputables à la défense d’office (art. 422 al. 1 et 2 let. a CPP), fixés à 450 fr., plus la TVA par 36 fr., soit au total 486 fr., seront mis à la charge du recourant, qui succombe (art. 428 al. 1 CPP). Le remboursement à l’Etat de l’indemnité allouée au défenseur d’office de H.________ ne sera toutefois exigible que pour autant</w:t>
      </w:r>
    </w:p>
    <w:p>
      <w:r>
        <w:t>- 12 - que la situation économique de ce dernier se soit améliorée (art. 135 al. 4 CPP). Par ces motifs, la Chambre des recours pénale, statuant à huis clos, prononce : I. Le recours est rejeté. II. L'ordonnance du 5 août 2014 est confirmée. III. L'indemnité allouée au défenseur d'office de H.________ est fixée à 486 fr. (quatre cent huitante-six francs). IV. Les frais d'arrêt, par 1’210 fr. (mille deux cent dix francs), ainsi que l'indemnité due au défenseur d'office de H.________ par 486 fr. (quatre cent huitante-six francs), sont mis à la charge de ce dernier. V. Le remboursement à l'Etat de l'indemnité allouée au chiffre III ci-dessus sera exigible pour autant que la situation économique deH.________ se soit améliorée. VI. L'arrêt est exécutoire. Le président : La greffière : Du L'arrêt qui précède, dont la rédaction a été approuvée à huis clos, est notifié, par l'envoi d'une copie complète, à : - Mme Véronique Fontana, avocate (pour H.________), - Ministère public central,</w:t>
      </w:r>
    </w:p>
    <w:p>
      <w:r>
        <w:t>- 13 -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