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PE13.001818 vom 14. Mai 2013</w:t>
      </w:r>
    </w:p>
    <w:p>
      <w:r>
        <w:t>VD Tribunal cantonal, 2013-05-14, FR</w:t>
      </w:r>
    </w:p>
    <w:p>
      <w:r>
        <w:rPr>
          <w:b/>
        </w:rPr>
        <w:t xml:space="preserve">Quelle: </w:t>
      </w:r>
      <w:r>
        <w:t>https://mcp.opencaselaw.ch/entscheid/vd_gerichte_PE13.001818</w:t>
      </w:r>
    </w:p>
    <w:p>
      <w:r>
        <w:t>FR: VD_GERICHTE PE13.001818 du 14 mai 2013</w:t>
      </w:r>
    </w:p>
    <w:p>
      <w:r>
        <w:t>IT: VD_GERICHTE PE13.001818 del 14 maggio 2013</w:t>
      </w:r>
    </w:p>
    <w:p>
      <w:pPr>
        <w:pStyle w:val="Heading2"/>
      </w:pPr>
      <w:r>
        <w:t>Erwägungen</w:t>
      </w:r>
    </w:p>
    <w:p>
      <w:r>
        <w:rPr>
          <w:b/>
        </w:rPr>
        <w:t>E. 1</w:t>
      </w:r>
    </w:p>
    <w:p>
      <w:r>
        <w:t>Né en 1970 en France, pays dont il est originaire, B.J.________ est au bénéfice d’une double formation en micro-mécanique de mesures physiques avec instruments de précisions mécaniques et optiques et en gestion-qualité. Depuis huit ans, il travaille auprès de [...] SA, à Genève, en tant que responsable qualité, logistique et achats et perçoit un salaire de 10'000 fr. environ. Marié et père de deux enfants, âgés de 7 et 14 ans, il est propriétaire, avec son épouse, de leur logement sis à Longchaumois, en France. Il n’a pas de dettes, hormis la dette hypothécaire grevant l’immeuble.</w:t>
      </w:r>
    </w:p>
    <w:p>
      <w:r>
        <w:rPr>
          <w:b/>
        </w:rPr>
        <w:t>E. 2.1</w:t>
      </w:r>
    </w:p>
    <w:p>
      <w:r>
        <w:t>Le mercredi matin 29 août 2012, B.J.________ circulait à une vitesse d’environ 60 km/h au volant de son véhicule de marque Nissan X- Trail de St-Cergue en direction de Nyon, où la vitesse est limitée à 80 km/h. Il suivait à une quinzaine de mètres, soit à une distance insuffisante, le véhicule de marque Mitsubishi Lancer conduit par A.________, qu’il a rattrapé et dépassé. A.________ l’a à son tour suivi à une distance de quinze mètres, puis devancé. Parvenu au lieu-dit "Contour de la Capite à Moto", où la route décrit une courbe prononcée vers la droite selon son sens de marche, A.________ a freiné. Surpris, B.J.________, qui roulait à une distance insuffisante, a également freiné, s’est décalé sur la gauche, soit sur la partie de la route réservée au sens inverse, afin d’éviter un choc avec la voiture d’A.________, puis a accéléré et dépassé ce dernier à l’intérieur du virage, alors que la visibilité y est mauvaise. Au terme de sa manœuvre, B.J.________ s’est rabattu sur la droite, heurtant l’aile avant gauche du véhicule d’A.________ avec la roue arrière droite de sa voiture.</w:t>
      </w:r>
    </w:p>
    <w:p>
      <w:r>
        <w:t>- 4 - Suite au choc, les deux automobilistes se sont arrêtés et ont fait appel à la police.</w:t>
      </w:r>
    </w:p>
    <w:p>
      <w:r>
        <w:rPr>
          <w:b/>
        </w:rPr>
        <w:t>E. 2.2</w:t>
      </w:r>
    </w:p>
    <w:p>
      <w:r>
        <w:t>Pour ces faits, objet du rapport de police du 2 octobre 2012, le Préfet de Nyon, après avoir entendu les deux automobilistes séparément et ensemble ainsi que le témoin C.J.________, épouse de B.J.________ et passagère avant du véhicule de ce dernier, a, par ordonnances pénales du</w:t>
      </w:r>
    </w:p>
    <w:p>
      <w:r>
        <w:rPr>
          <w:b/>
        </w:rPr>
        <w:t>E. 2.3</w:t>
      </w:r>
    </w:p>
    <w:p>
      <w:r>
        <w:t>Dans son jugement du 14 mai 2013, le Tribunal de police, qui a entendu le prévenu B.J.________ et, en qualité de témoins, A.________ ainsi que C.J.________, a tenu pour constants les faits relatés dans le rapport de police et les premières déclarations des intéressés devant les gendarmes, a confirmé la condamnation de B.J.________ à une amende de 350 fr. ainsi que la peine privative de liberté de substitution de quatre jours et a mis les frais, par 800 fr., à la charge de ce dernier. Il a précisé que le comportement dangereux d’A.________ avant le virage de la grande boucle n’annihilait en rien la conduite dangereuse de B.J.________ consistant à circuler à une distance insuffisante et à procéder au dépassement dans un virage sans visibilité, heurtant le véhicule d’A.________ au moment de se rabattre.</w:t>
      </w:r>
    </w:p>
    <w:p>
      <w:r>
        <w:t>- 5 - En d roit : 1. 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 En l’occurrence, l'appel a été déposé en temps utile. Interjeté dans les formes contre un jugement d’un tribunal de première instance ayant clos la procédure (art. 398 al. 1 CPP), l’appel est recevable. L’appel concernant une contravention, la procédure applicable est écrite (art. 406 al. 1 let. c CPP) et la cause est de la compétence d'un membre de la cour d'appel statuant comme juge unique (art. 14 al. 3 LVCPP [Loi d'introduction du Code de procédure pénale suisse du 19 mai 2009, RSV 312.01]). 2. 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Cet appel restreint a été prévu pour les cas de peu d’importance, soit concernant des infractions mineures, le droit conventionnel international admettant en pareil cas des exceptions au droit à un double degré de juridiction (Kistler Vianin, in : Commentaire romand, Code de procédure pénale suisse, Bâle 2011, n. 22- 23 ad art. 398 CPP).</w:t>
      </w:r>
    </w:p>
    <w:p>
      <w:r>
        <w:t>- 6 - 3. B.J.________ conteste les faits retenus par le tribunal et invoque une appréciation arbitraire des preuves. Il reproche au premier juge de s’être fondé sur ses premières déclarations sans prendre en considération les modifications demandées lorsqu’il avait pris connaissance de sa déposition, d’avoir refusé de retenir le témoignage de C.J.________, de n’avoir pas tenu compte de la trace de contact visible sur la photo du véhicule accidenté d’A.________ (P. 11), trace qui, selon lui, prouverait que ce dernier a accéléré au moment du dépassement, causant ainsi l’accident, et d’avoir privilégié la version des faits fournie par A.________. 3.1 Selon l'art. 10 CPP, toute personne est présumée innocente tant qu'elle n'est pas condamnée par un jugement entré en force (al. 1). Le Tribunal apprécie librement les preuves recueillies selon l'intime conviction qu'il retire de l'ensemble de la procédure (al. 2).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(Kistler Vianin, op. cit., n. 28 ad art. 398 CPP).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(ATF 136 III 552 c. 4.2; TF 1C_517/2010 du 7 mars 2011 c. 2.1). 3.2 En l’espèce, le tribunal a retenu que B.J.________ avait eu une conduite dangereuse en circulant à une distance insuffisante pour circuler en file et en procédant au dépassement du véhicule d’A.________ dans un virage sans visibilité et qu’il avait manqué de prudence en heurtant l’autre voiture au moment où il s’était rabattu. Il a également considéré qu’A.________, dans une portion précédente de la route, avait eu une</w:t>
      </w:r>
    </w:p>
    <w:p>
      <w:r>
        <w:t>- 7 - conduite dangereuse et qu’il avait été sanctionnée par une ordonnance pénale. On ne saurait considérer que le premier juge a fait preuve d’arbitraire dans l’appréciation des preuves. Il a au contraire examiné en détail les versions des faits contradictoires des deux conducteurs et a expliqué pourquoi il privilégiait leurs premières déclarations, retranscrites par la police. Contrairement à ce que soutient l’appelant (appel, p. 5), les apparentes contradictions d’A.________ sur la vitesse à laquelle il roulait au moment du dépassement litigieux – ce dernier ayant d’abord affirmé avoir freiné dans le virage (pièce 4, dossier préfectoral, rapport de police du 2 octobre 2012, p. 4; PV aud. du 10 décembre 2012), avant de dire le contraire devant le tribunal (jugt, p. 6) – n’ont pas échappé au premier juge, qui a résumé les déclarations en cause en page 12 de sa décision. De toute manière, cette contradiction, qui n’enlève rien au constat que B.J.________ a dépassé A.________ et l’a heurté au moment où il s’est rabattu, n’est pas déterminante, puisque le tribunal a admis qu’A.________ avait freiné au moment d’aborder la courbe et qu’il n’a pas été retenu que B.J.________ avait effectué le dépassement à une vitesse inadaptée, comme l’a laissé entendre A.________ devant le tribunal. Ainsi, on se réfèrera intégralement sur ce point à l’appréciation du premier juge, qui est claire et convaincante. L’appelant, qui demande la modification de ses déclarations rapportées par la gendarmerie, perd de vue qu’il a contresigné sa déposition et qu’ainsi, contrairement à ce qu’il affirme (appel, p. 3 in fine), il n’a pas demandé leur modification "immédiatement", soit dès qu’il en a eu connaissance, mais plus de deux mois après, par courrier de son avocat qu’il venait de consulter (pièce 4, dossier préfectoral, lettre de Me Henri Bercher du 6 novembre 2012). En outre, l’interprétation subséquente donnée par B.J.________ concernant les expressions "j’ai été surpris" et "afin de l’éviter" n’est pas convaincante (ibidem). En effet, de l’avis du premier juge, auquel il convient de se rallier, les explications</w:t>
      </w:r>
    </w:p>
    <w:p>
      <w:r>
        <w:t>- 8 - données par B.J.________ sur la peur qu’il aurait ressentie en raison du comportement routier d’A.________ "n’enlèvent rien à la dangerosité de sa conduite" et, comme l’a relevé à juste titre le tribunal, "on ne voit pas en quoi le dépassement était la seule façon d’échapper" à A.________ (jugt, p. 13). Ensuite, B.J.________ exagère lorsqu’il prétend, par courrier de son conseil du 6 novembre 2012, que le véhicule d’A.________ était "pratiquement arrêté" au milieu du virage, puisqu’il ressort de ses propres déclarations – tant devant le Préfet que devant le tribunal – qu’A.________ roulait "lentement" (PV aud. du 10 décembre 2012; jugt, p. 3), ce qui n’est pas surprenant en soi, vu la configuration des lieux, la police parlant d’une "courbe prononcée" et l’appelant lui-même d’une "épingle" (rapport de police précité, pp. 3 et 4; cf. ég. pièce 1 [extrait de "Google Map"] du bordereau du 10 décembre 2012 produit par Me Bercher à l’audience préfectorale). On relèvera du reste une contradiction à cet égard dans les propos tenus par l’appelant, qui a d’abord affirmé qu’A.________ avait "planté" sur les freins (rapport de police précité, p. 4), avant de préciser qu’il "suppos[ai]t" qu’il allait le faire et qu’il avait donc pris l’initiative de le dépasser (PV aud. du 10 décembre 2012). Les explications fournies sur ce point par B.J.________ lors de son audition par le Préfet, selon lesquelles il craignait que l’autre automobiliste s’arrête dans le virage et sorte de son véhicule pour s’en prendre physiquement à lui et à sa femme, sont peu crédibles. Enfin, les versions que les parties ont données à la police concordent quant à l’endroit où A.________ a freiné, soit "dans le virage", et non à la sortie de celui-ci, comme l’appelant l’a ensuite prétendu devant le Préfet. Quant à savoir où le dépassement a été effectué, on comprend des déclarations d’A.________ et de B.J.________ devant le Préfet que la manœuvre se situe à l’intérieur du tournant, soit, selon A.________, "dans la deuxième partie du virage", ce qui est confirmé par B.J.________ qui a admis avoir pris "l’initiative" du dépassement "entre le point 7 et 7a" du plan (Google Map) figurant au dossier (pièce 1 du bordereau du 10 décembre 2012).</w:t>
      </w:r>
    </w:p>
    <w:p>
      <w:r>
        <w:t>- 9 - B.J.________ affirme encore que la photographie du véhicule accidenté d’A.________ établit que lors du choc, les deux véhicules roulaient à la même vitesse. Il soutient que le conducteur A.________ a accéléré alors qu’il était l’objet d’un dépassement, ce qui serait la cause unique du contact entre les deux voitures. On s’étonne qu’entendus par la police, ni l’appelant ni son épouse n’aient immédiatement dénoncé ce comportement dangereux. En outre, lors de son audition par le préfet, l’appelant n’a pas prétendu qu’A.________ avait accéléré, mais a uniquement affirmé : "je ne m’explique pas comment il se fait que lorsque je le dépasse il est pratiquement à l’arrêt et que nous nous sommes touchés en me rabattant". Puis, à l’audience de jugement, il a encore précisé qu’au moment où il s’est rabattu, il était "convaincu qu’il avait largement la place de le faire", admettant implicitement que tel n’avait finalement pas été le cas. En outre, le fait que la photographie du véhicule d’A.________ révèle une marque de contact et non un frottement ne permet pas de retenir que ce conducteur a volontairement cherché à provoquer un accident en lançant sa voiture contre celle de l’appelant. S’agissant ensuite des faits qui ont précédé cette touchette, l’appelant perd de vue qu’A.________ a été condamné pour sa conduite dangereuse. Il impute la distance insuffisante qui lui a été reprochée à des freinages intempestifs et sans nécessité du véhicule qu’il suivait. Toutefois, les explications du conducteur A.________ sur la forme ou l’animal qu’il a cru voir sont vraisemblables et ses imprécisions à cet égard n’entachent pas la crédibilité de ses déclarations. B.J.________ reproche encore au premier juge de n’avoir pas tenu compte du témoignage de C.J.________. Outre le fait, comme l’a retenu le tribunal, qu’il faut prendre la déposition de ce témoin avec retenue en raison de son lien conjugal avec l’appelant, ses déclarations contredisent celles de ce dernier quant à l’endroit où le dépassement a eu lieu, le témoin situant cette manœuvre "au point 7b" du plan (jugt, p. 4). Enfin, on comprend mal pour quel motif l’appelant, s’il a vraiment cru à un "conducteur fou" au volant d’un véhicule beaucoup plus</w:t>
      </w:r>
    </w:p>
    <w:p>
      <w:r>
        <w:t>- 10 - puissant que le sien, a voulu lui échapper en le dépassant, puis en restant derrière lui, puis encore en le devançant dans un virage, sur une route de montagne, alors qu’il lui suffisait de s’arrêter pour le laisser prendre de la distance. Partant, au vu des éléments qui précèdent, il est parfaitement soutenable de retenir (jugt, p. 13) que B.J.________ a circulé à une distance insuffisante pour circuler en file et a procédé au dépassement du véhicule d’A.________ dans un virage sans visibilité, heurtant, au moment où il s’est rabattu, la voiture devancée. L'appréciation du tribunal n’est donc pas arbitraire au sens indiqué ci-dessus (c. 3.1). Le moyen, mal fondé, doit dès lors être rejeté.</w:t>
      </w:r>
    </w:p>
    <w:p>
      <w:r>
        <w:rPr>
          <w:b/>
        </w:rPr>
        <w:t>E. 4</w:t>
      </w:r>
    </w:p>
    <w:p>
      <w:r>
        <w:t>L’appelant fait valoir que les infractions des art. 34 al. 3 et 4 LCR (Loi fédérale sur la circulation routière du 19 décembre 1958; RS 741.01) et 12 al. 1 OCR (Ordonnance sur les règles de la circulation routière du 13 novembre 1962; RS 741.11) ne sont pas réalisées.</w:t>
      </w:r>
    </w:p>
    <w:p>
      <w:r>
        <w:rPr>
          <w:b/>
        </w:rPr>
        <w:t>E. 4.1</w:t>
      </w:r>
    </w:p>
    <w:p>
      <w:r>
        <w:t>Selon l’art. 34 al. 3 LCR, le conducteur qui veut modifier sa direction de marche, par exemple pour obliquer, dépasser, se mettre en ordre de présélection ou passer d’une voie à l’autre, est tenu d’avoir égard aux usagers de la route qui viennent en sens inverse ainsi qu’aux véhicules qui le suivent. L’art. 34 al. 4 LCR prévoit que le conducteur doit observer une distance suffisante notamment lorsque des véhicules se suivent. Cette disposition est concrétisée à l’art. 12 al. 1 OCR, selon lequel lorsque des véhicules se suivent, le conducteur se tiendra à une distance suffisante du véhicule qui le précède, afin de pouvoir s’arrêter à temps en cas de freinage inattendu. L’irrespect d’une distance suffisante constitue une violation simple (art. 90 ch. 1 LCR), le cas échéant grave (art. 90 ch. 2 LCR) des règles de la circulation (ATF 131 IV 133 c. 3; Weissenberger, Kommentar zum Strassenverkehrsgesetz, n. 51 ss ad art. 34 LCR).</w:t>
      </w:r>
    </w:p>
    <w:p>
      <w:r>
        <w:rPr>
          <w:b/>
        </w:rPr>
        <w:t>E. 4.2</w:t>
      </w:r>
    </w:p>
    <w:p>
      <w:r>
        <w:t>En l’espèce, B.J.________ a dû à plusieurs reprises freiner brusquement. Selon la jurisprudence, c’est au conducteur du véhicule qui</w:t>
      </w:r>
    </w:p>
    <w:p>
      <w:r>
        <w:t>- 11 - suit de régler l’intervalle par rapport au véhicule qui précède, de manière à éviter une collision avec ce véhicule ou d’être obligé de se placer en position de dépassement comportant un risque pour les véhicules en sens inverse, comme cela a été le cas en l’occurrence. Par ailleurs, si l’espace à l’origine suffisant diminue parce que le véhicule qui précède ralentit, c’est au conducteur de la voiture qui suit à veiller au rétablissement de la distance suffisante (ATF 137 IV 326 c. 3.3.3 et les références citées, not. ATF 81 IV 47, JT 1955 I 418; ég. ATF 115 IV 248). Or, on ne saurait retenir que les décélérations brusques du véhicule de l’appelant étaient toutes liées à des freinages inutiles du conducteur A.________. Le prévenu n’a ainsi pas respecté une distance minimale suffisante avec ce conducteur. En outre, il ressort des déclarations des deux automobilistes (cf. c. 3.2, p. 7 in fine, supra) que le prévenu a effectué le second dépassement dans un virage, manquant ainsi de prudence et d’égards envers les véhicules qui étaient susceptibles de venir en sens inverse, étant précisé sur ce point que, selon la jurisprudence, la manœuvre de dépassement est entreprise lorsque, dans l’intention de devancer un autre usager, le dépasseur déboîte et commence à le rattraper, au point qu’il devrait ralentir son allure s’il devait reprendre sa droite en respectant une distance suffisante derrière le dépassé (ATF 101 IV 72 c. 1a, JT 1975 I 433). Enfin, en touchant le véhicule qu’il dépassait au moment où il s’est rabattu, le prévenu n’a à l’évidence pas respecté une distance suffisante et a manqué de prudence. C’est donc à bon droit que le premier a retenu les contraventions aux art. 34 al. 3 et 4 LCR et 12 al. 1 OCR.</w:t>
      </w:r>
    </w:p>
    <w:p>
      <w:r>
        <w:rPr>
          <w:b/>
        </w:rPr>
        <w:t>E. 5</w:t>
      </w:r>
    </w:p>
    <w:p>
      <w:r>
        <w:t>L’amende de 350 fr. et la peine privative de liberté de substitution de quatre jours, correspondant aux montants arrêtés par l’autorité préfectorale dans son ordonnance du 4 janvier 2013, doivent être confirmés. Cette sanction apparaît modérée, compte tenu de la</w:t>
      </w:r>
    </w:p>
    <w:p>
      <w:r>
        <w:t>- 12 - fourchette de la peine prévue à l’art. 106 CP, auquel renvoie l’art. 90 ch. 1 LCR. Par ailleurs, la faute commise par B.J.________ est prépondérante, ce qui justifie une peine d’amende plus élevée que celle infligée à A.________.</w:t>
      </w:r>
    </w:p>
    <w:p>
      <w:r>
        <w:rPr>
          <w:b/>
        </w:rPr>
        <w:t>E. 6</w:t>
      </w:r>
    </w:p>
    <w:p>
      <w:r>
        <w:t>En conclusion, l'appel doit être rejeté et le jugement attaqué intégralement confirmé. Vu l'issue de la cause, les frais d'appel doivent être mis à la charge de B.J.________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