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PE13.001712 vom 27. Januar 2013</w:t>
      </w:r>
    </w:p>
    <w:p>
      <w:r>
        <w:t>VD Tribunal cantonal, 2013-01-27, FR</w:t>
      </w:r>
    </w:p>
    <w:p>
      <w:r>
        <w:rPr>
          <w:b/>
        </w:rPr>
        <w:t xml:space="preserve">Quelle: </w:t>
      </w:r>
      <w:r>
        <w:t>https://mcp.opencaselaw.ch/entscheid/vd_gerichte_PE13.001712</w:t>
      </w:r>
    </w:p>
    <w:p>
      <w:r>
        <w:t>FR: VD_GERICHTE PE13.001712 du 27 janvier 2013</w:t>
      </w:r>
    </w:p>
    <w:p>
      <w:r>
        <w:t>IT: VD_GERICHTE PE13.001712 del 27 gennaio 2013</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w:t>
      </w:r>
    </w:p>
    <w:p>
      <w:r>
        <w:t>- 5 -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compte tenu des éléments au dossier, il existe une présomption suffisamment sérieuse de culpabilité à l’encontre de F.________, ce que ce dernier ne conteste d’ailleurs pas.</w:t>
      </w:r>
    </w:p>
    <w:p>
      <w:r>
        <w:rPr>
          <w:b/>
        </w:rPr>
        <w:t>E. 3</w:t>
      </w:r>
    </w:p>
    <w:p>
      <w:r>
        <w:t>a) Le recourant conteste toutefois le risque de récidive, en particulier que l’on puisse considérer que les infractions reprochées</w:t>
      </w:r>
    </w:p>
    <w:p>
      <w:r>
        <w:t>- 6 - constituent des délits graves compromettant sérieusement la sécurité d’autrui au sens de l’art. 221 al. 1 let. c CPP.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après avoir déjà commis des infractions du même genre (137 IV 84 c. 3.2, JT 2011 IV 325).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op. cit.). D’après la jurisprudence fédérale, les vols par effraction revêtent la gravité nécessaire pour menacer l’ordre public du fait que la situation peut dégénérer, car la réaction d’un cambrioleur peut être imprévisible et il n’est pas exclu qu’il s’en prenne physiquement à des tiers s’il rencontre de la résistance, pour échapper à son interpellation ou sous l’effet de la panique (TF 1B_731/2011 du 16 janvier 2012 c. 3.3).</w:t>
      </w:r>
    </w:p>
    <w:p>
      <w:r>
        <w:t>- 7 - Ainsi, selon la jurisprudence de la Cour de céans, lorsqu’un prévenu est fortement soupçonné d’avoir commis plus de quarante vols dans des véhicules, dont un certain nombre avec effraction, et qu’il est susceptible d’être condamné pour vol par métier, on doit admettre qu’il compromet sérieusement la sécurité publique par l’ampleur de son activité criminelle (CREP 8 mai 2012/221 c. 2c). Le Tribunal fédéral a également retenu que si un vol à la tire d'un porte-monnaie ne constituait pas en soi un délit grave, il pouvait cependant être tenu compte du nombre important d'infractions commises et de leur fréquence pour apprécier leur gravité (TF 1B_730/2012 du 19 décembre 2012 c. 3.2). L’ampleur de l’activité criminelle doit également être prise en compte à l'aune de l’art. 221 al. 1 let. c CPP. Le Tribunal fédéral a ainsi statué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 c) En l’espèce, F.________ a déjà été condamné à deux reprises le 26 septembre 2011 par le Tribunal des mineurs et le 29 août 2012 par le Ministère public de l’arrondissement de l'Est vaudois pour des infractions du même genre. Il a en outre été incarcéré une première fois du 25 janvier 2013 au 20 février 2013, soit durant presque un mois, ce qui ne l'a pas empêché de récidiver moins de deux semaines après sa libération. Pris isolément, un acte de dommages à la propriété n’est pas un délit grave au sens de l’art. 221 al. 1 let. c CPP. Toutefois, dans le cas concret, la multiplication de ces actes et leur fréquence permet de retenir la circonstance de gravité exigée pour les délits conformément à la jurisprudence du Tribunal fédéral (cf. supra c. 3b). Enfin, le fait que les actes reprochés au recourant soient poursuivis sur plainte n’y change rien.</w:t>
      </w:r>
    </w:p>
    <w:p>
      <w:r>
        <w:t>- 8 - Dans ces conditions, on peut admettre que l'activité délictueuse déployée par le recourant est de nature à compromettre sérieusement la sécurité au sens de l'art. 221 al. 1 let. c CPP. Il se justifie par conséquent d’ordonner le maintien de F.________ en détention provisoire. L'affirmation d'un risque de réitération dispense d'examiner s'il existe aussi un risque de collusion, au sens de l'art. 221 al. 1 let. b CPP (TF 1B_249/2011 du 7 juin 2011 c. 2.4).</w:t>
      </w:r>
    </w:p>
    <w:p>
      <w:r>
        <w:rPr>
          <w:b/>
        </w:rPr>
        <w:t>E. 4</w:t>
      </w:r>
    </w:p>
    <w:p>
      <w:r>
        <w:t>A l’appui de son recours, F.________ discute de la qualification des infractions commises. Il plaide ainsi le fond, qui n’est pas de la compétence de la Cour de céans, mais de celle du juge du fond.</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F.________ est détenu depuis le 2 juillet 2013, soit depuis un peu plus de quinze jours. Compte tenu des actes qui lui sont reprochés, le recourant s'expose à une peine privative de liberté d’une durée supérieure à celle de la détention provisoire subie à ce jour, même en cas de retrait de plainte. Au vu de ces éléments, le principe de proportionnalité des intérêts en présence demeure respecté.</w:t>
      </w:r>
    </w:p>
    <w:p>
      <w:r>
        <w:t>- 9 -</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450 fr., plus la TVA par 36 fr., soit un total de 486 fr., seront mis à la charge de F.________, qui succombe (art. 428 al. 1 CPP). Le remboursement à l’Etat de l’indemnité allouée au défenseur d’office de F.________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F.________ est fixée à 486 fr. (quatre cent huitante-six francs). IV. Les frais du présent arrêt, par 990 fr. (neuf cent nonante francs), ainsi que l’indemnité due au défenseur d’office du recourant selon le chiffre III ci-dessus, sont mis à la charge de F.________.</w:t>
      </w:r>
    </w:p>
    <w:p>
      <w:r>
        <w:t>- 10 - V. Le remboursement à l'Etat de l'indemnité allouée au chiffre III ci-dessus sera exigible pour autant que la situation économique de F.________ se soit améliorée. VI. Le présent arrêt est exécutoire. Le président : La greffière : Du L'arrêt qui précède, dont la rédaction a été approuvée à huis clos, est notifié, par l'envoi d'une copie complète, à : - M. Mathias Keller, avocat (pour F.________),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