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PE13.000009 vom 15. Februar 2013</w:t>
      </w:r>
    </w:p>
    <w:p>
      <w:r>
        <w:t>VD Tribunal cantonal, 2013-02-15, FR</w:t>
      </w:r>
    </w:p>
    <w:p>
      <w:r>
        <w:rPr>
          <w:b/>
        </w:rPr>
        <w:t xml:space="preserve">Quelle: </w:t>
      </w:r>
      <w:r>
        <w:t>https://mcp.opencaselaw.ch/entscheid/vd_gerichte_PE13.000009</w:t>
      </w:r>
    </w:p>
    <w:p>
      <w:r>
        <w:t>FR: VD_GERICHTE PE13.000009 du 15 février 2013</w:t>
      </w:r>
    </w:p>
    <w:p>
      <w:r>
        <w:t>IT: VD_GERICHTE PE13.000009 del 15 febbraio 2013</w:t>
      </w:r>
    </w:p>
    <w:p>
      <w:pPr>
        <w:pStyle w:val="Heading2"/>
      </w:pPr>
      <w:r>
        <w:t>Erwägungen</w:t>
      </w:r>
    </w:p>
    <w:p>
      <w:r>
        <w:rPr>
          <w:b/>
        </w:rPr>
        <w:t>E. 1</w:t>
      </w:r>
    </w:p>
    <w:p>
      <w:r>
        <w:t>Le recours a été interjeté en temps utile (art. 396 CPP [Code de procédure pénale suisse du 5 octobre 2007; RS 312.0] contre une décision du Ministère public en matière de révocation et de remplacement du défenseur d'office (CREP 6 septembre 2012/639; CREP 22 juin 2012/335; Harari/Aliberti, in: Kuhn/Jeanneret (éd.), Commentaire romand, Code de procédure pénale suisse, Bâle 2011, n. 25 ad art. 134 CPP), par le prévenu, qui a qualité pour recourir (art. 382 CPP; Ruckstuhl, in: Niggli/Heer/Wiprächtiger (éd.), Basler Kommentar, Schweizerische Strafprozessordnung, Jugendstrafprozessordnung, Bâle 2011, n. 5 ad art. 133 CPP, pp. 899 s. et les références citées). Il est donc recevable.</w:t>
      </w:r>
    </w:p>
    <w:p>
      <w:r>
        <w:rPr>
          <w:b/>
        </w:rPr>
        <w:t>E. 2</w:t>
      </w:r>
    </w:p>
    <w:p>
      <w:r>
        <w:t>CPP, un changement de défenseur d'office.</w:t>
      </w:r>
    </w:p>
    <w:p>
      <w:r>
        <w:t>- 5 - A cela s'ajoute que Me Q.________ assiste le recourant en qualité de défenseur d'office depuis le 10 juillet 2012. Elle connaît donc sa situation mieux que Me K.________, qui, désignée le 7 janvier 2013, ne connaît que la procédure ouverte en 2013, et qui devra ainsi reprendre l'étude des dossiers antérieurs, déjà connus du premier défenseur. Le souci d'une saine administration de la justice commande donc que le mandat de défense d'office du recourant soit exécuté par le même avocat pour l'ensemble de la procédure pénale dirigée contre G.________. La décision attaquée s'avère ainsi bien fondée. Il appartiendra cependant à la procureure, qui a omis de statuer sur l'indemnité due à Me K.________ (art. 135 CPP), de se prononcer à cet égard.</w:t>
      </w:r>
    </w:p>
    <w:p>
      <w:r>
        <w:rPr>
          <w:b/>
        </w:rPr>
        <w:t>E. 3</w:t>
      </w:r>
    </w:p>
    <w:p>
      <w:r>
        <w:t>En définitive, le recours, manifestement mal fondé, doit être rejeté sans autre échange d'écritures (art. 390 al. 2 CPP) et l'ordonnance confirmée. Les frais de la procédure de recours, par 550 fr. (art. 20 al. 1 TFJP [Tarif des frais judiciaires pénaux du 28 septembre 2010, RSV 312.03.1]), sont mis à la charge du recourant, qui succombe (art. 428 al. 1 CPP). Le recours n'ayant pas d'effet suspensif selon l'art. 387 CPP, Me K.________ n'est plus défenseur d'office du recourant et n'a donc pas droit à une indemnité de ce chef pour la procédure de recours.</w:t>
      </w:r>
    </w:p>
    <w:p>
      <w:r>
        <w:t>- 6 - Par ces motifs, la Chambre des recours pénale, statuant à huis clos, prononce : I. Le recours est rejeté. II. L'ordonnance du 30 janvier 2013 est confirmée. III. Les frais de la procédure de recours, par 550 fr. (cinq cent cinquante francs), sont mis à la charge de G.________. IV. Le présent arrêt est exécutoire. Le vice-président : Le greffier : Du L'arrêt qui précède, dont la rédaction a été approuvée à huis clos, est notifié, par l'envoi d'une copie complète, à : - Mme K.________, avocate (pour G.________), - Mme Q.________, avocate (pour G.________),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