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PE12.025195 vom 20. Februar 2013</w:t>
      </w:r>
    </w:p>
    <w:p>
      <w:r>
        <w:t>VD Tribunal cantonal, 2013-02-20, FR</w:t>
      </w:r>
    </w:p>
    <w:p>
      <w:r>
        <w:rPr>
          <w:b/>
        </w:rPr>
        <w:t xml:space="preserve">Quelle: </w:t>
      </w:r>
      <w:r>
        <w:t>https://mcp.opencaselaw.ch/entscheid/vd_gerichte_PE12.025195</w:t>
      </w:r>
    </w:p>
    <w:p>
      <w:r>
        <w:t>FR: VD_GERICHTE PE12.025195 du 20 février 2013</w:t>
      </w:r>
    </w:p>
    <w:p>
      <w:r>
        <w:t>IT: VD_GERICHTE PE12.025195 del 20 febbraio 2013</w:t>
      </w:r>
    </w:p>
    <w:p>
      <w:pPr>
        <w:pStyle w:val="Heading2"/>
      </w:pPr>
      <w:r>
        <w:t>Erwägungen</w:t>
      </w:r>
    </w:p>
    <w:p>
      <w:r>
        <w:rPr>
          <w:b/>
        </w:rPr>
        <w:t>E. 1</w:t>
      </w:r>
    </w:p>
    <w:p>
      <w:r>
        <w:t>a) L'autorité à laquelle la cause est renvoyée doit fonder sa décision sur les considérants en droit de l'arrêt du Tribunal fédéral (TF</w:t>
      </w:r>
    </w:p>
    <w:p>
      <w:r>
        <w:t>- 4 - 1B_588/2012 du 11 février 2013 c. 3.1; art. 66 al. 1 aOJ et 227ter al. 2 aPPF, par analogie : Corboz, in : Corboz et alii, Commentaire de la LTF, Berne 2009, nos 26 et 27 ad art. 107 LTF [Loi du 17 juin 2005 sur le Tribunal fédéral; RS 173.110], p. 1078). b) En l'occurrence, le Tribunal fédéral a considéré qu'au vu des griefs invoqués par Y.________, il appartenait à l'autorité saisie de la demande de mise en détention de vérifier que la détention provisoire avait lieu dans des conditions acceptables, au regard notamment des art. 234 et 235 al. 1 CPP qui imposaient une exécution de la détention provisoire dans des établissements appropriés, et conformes au principe de la proportionnalité. Saisie d'allégations de mauvais traitements subis dans ce cadre, il appartenait à cette autorité d'élucider les faits et de constater, le cas échéant, les irrégularités dénoncées par l'intéressé. Le simple fait de donner acte au recourant du dépassement du délai de 48 heures n'était à cet égard pas suffisant. Le Tribunal fédéral a cependant précisé qu'une telle constatation ne saurait avoir pour conséquence la remise en liberté du prévenu et que ce n'était qu'à l'issue de la procédure qu'il y aurait lieu de tirer les conséquences d'une telle constatation (cf. art. 429 ss CPP s'agissant de l'indemnisation). Les prétentions du prénommé étaient à cet égard prématurées. Il a ajouté qu'il appartiendrait à la Chambre de céans de décider si elle entendait elle-même procéder à l'examen des allégations d'Y.________, ou si elle entendait renvoyer la cause au Tribunal des mesures de contrainte. La Chambre des recours pénale doit ainsi appliquer cette consigne et, considérant que le Tribunal des mesures de contrainte est le mieux à même d'examiner les griefs invoqués par l'intéressé, elle invite cette autorité à procéder à cet examen et à constater, le cas échéant, les irrégularités dénoncées par l'intéressé.</w:t>
      </w:r>
    </w:p>
    <w:p>
      <w:r>
        <w:rPr>
          <w:b/>
        </w:rPr>
        <w:t>E. 2</w:t>
      </w:r>
    </w:p>
    <w:p>
      <w:r>
        <w:t>Il résulte de ce qui précède que le dossier de la cause doit être renvoyé au Tribunal des mesures de contrainte pour qu'il procède dans le sens des considérants. Les frais du présent arrêt, par 440 fr., seront laissés à la charge de l'Etat.</w:t>
      </w:r>
    </w:p>
    <w:p>
      <w:r>
        <w:t>- 5 - Par ces motifs, la Chambre des recours pénale, statuant à huis clos, prononce : I. Le dossier de la cause est renvoyé au Tribunal des mesures de contrainte pour qu'il procède dans le sens des considérants. II. Les frais d'arrêt, par 440 fr. (quatre cent quarante francs), sont laissés à la charge de l'Etat. III. Le présent arrêt est exécutoire. Le vice-président : La greffière : Du L'arrêt qui précède, dont la rédaction a été approuvée à huis clos, est notifié, par l'envoi d'une copie complète, à : - M. Olivier Couchepin, avocat (pour Y.________), - Ministère public central; et communiqué à : - M. le Président du Tribunal des mesures de contrainte, - M. le Procureur de l'arrondissement de l'Est vaudois, par l’envoi de photocopies. Le présent arrêt peut faire l'objet d'un recours en matière pénale devant le Tribunal fédéral au sens des art. 78 ss LTF (loi du 17 juin</w:t>
      </w:r>
    </w:p>
    <w:p>
      <w:r>
        <w:t>- 6 - 2005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