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PE12.025167 vom 15. Januar 2015</w:t>
      </w:r>
    </w:p>
    <w:p>
      <w:r>
        <w:t>VD Tribunal cantonal, 2015-01-15, FR</w:t>
      </w:r>
    </w:p>
    <w:p>
      <w:r>
        <w:rPr>
          <w:b/>
        </w:rPr>
        <w:t xml:space="preserve">Quelle: </w:t>
      </w:r>
      <w:r>
        <w:t>https://mcp.opencaselaw.ch/entscheid/vd_gerichte_PE12.025167</w:t>
      </w:r>
    </w:p>
    <w:p>
      <w:r>
        <w:t>FR: VD_GERICHTE PE12.025167 du 15 janvier 2015</w:t>
      </w:r>
    </w:p>
    <w:p>
      <w:r>
        <w:t>IT: VD_GERICHTE PE12.025167 del 15 gennaio 2015</w:t>
      </w:r>
    </w:p>
    <w:p>
      <w:pPr>
        <w:pStyle w:val="Heading2"/>
      </w:pPr>
      <w:r>
        <w:t>Erwägungen</w:t>
      </w:r>
    </w:p>
    <w:p>
      <w:r>
        <w:rPr>
          <w:b/>
        </w:rPr>
        <w:t>E. 4</w:t>
      </w:r>
    </w:p>
    <w:p>
      <w:r>
        <w:t>Dans la mesure où l’acquittement du prévenu s’agissant du chef de prévention de viol est confirmé et que, s’agissant des voies de fait retenues, il est exempté de toute peine en application de l’art. 177 al. 3 CPP, la conclusion de l’appelante tendant à l’allocation d’une indemnité pour tort moral doit être rejetée.</w:t>
      </w:r>
    </w:p>
    <w:p>
      <w:r>
        <w:rPr>
          <w:b/>
        </w:rPr>
        <w:t>E. 5</w:t>
      </w:r>
    </w:p>
    <w:p>
      <w:r>
        <w:t>En définitive, l’appel de N.________ doit être partiellement admis, le jugement entrepris étant réformé dans le sens des considérants qui précèdent.</w:t>
      </w:r>
    </w:p>
    <w:p>
      <w:r>
        <w:rPr>
          <w:b/>
        </w:rPr>
        <w:t>E. 6</w:t>
      </w:r>
    </w:p>
    <w:p>
      <w:r>
        <w:t>Vu l’issue de la cause, les frais de la présente procédure, constitués de l’émolument d’arrêt, par 1’940 fr., et des indemnités allouées au défenseur d'office du prévenu, arrêtée à 972 fr. 30, TVA et débours inclus, et au conseil d'office de la plaignante, par 2'559 fr. 60, TVA et débours inclus, doivent être mis par quatre cinquièmes à la charge de N.________, le solde étant laissé à la charge de l’Etat.</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