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PE12.025165 vom 3. Juni 2013</w:t>
      </w:r>
    </w:p>
    <w:p>
      <w:r>
        <w:t>VD Tribunal cantonal, 2013-06-03, FR</w:t>
      </w:r>
    </w:p>
    <w:p>
      <w:r>
        <w:rPr>
          <w:b/>
        </w:rPr>
        <w:t xml:space="preserve">Quelle: </w:t>
      </w:r>
      <w:r>
        <w:t>https://mcp.opencaselaw.ch/entscheid/vd_gerichte_PE12.025165</w:t>
      </w:r>
    </w:p>
    <w:p>
      <w:r>
        <w:t>FR: VD_GERICHTE PE12.025165 du 3 juin 2013</w:t>
      </w:r>
    </w:p>
    <w:p>
      <w:r>
        <w:t>IT: VD_GERICHTE PE12.025165 del 3 giugno 2013</w:t>
      </w:r>
    </w:p>
    <w:p>
      <w:pPr>
        <w:pStyle w:val="Heading2"/>
      </w:pPr>
      <w:r>
        <w:t>Erwägungen</w:t>
      </w:r>
    </w:p>
    <w:p>
      <w:r>
        <w:rPr>
          <w:b/>
        </w:rPr>
        <w:t>E. 1</w:t>
      </w:r>
    </w:p>
    <w:p>
      <w:r>
        <w:t>a)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Selon l’art. 132 al. 1 CPP, la direction de la procédure ordonne une défense d’office dans les deux hypothèses suivantes: (a) en cas de défense obligatoire au sens de l'art. 130 CPP, si le prévenu, malgré l’invitation de la direction de la procédure, ne désigne pas de défenseur privé, ou si le mandat est retiré au défenseur privé ou que celui-ci a décliné le mandat et que le prévenu n’a pas désigné un nouveau défenseur dans le délai imparti; (b)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w:t>
      </w:r>
    </w:p>
    <w:p>
      <w:r>
        <w:t>- 4 - peine dont le prévenu est «passible» (cf. art. 132 al. 3 CPP), ou qu’il «encourt» (cf. art. 130 let. b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b)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cf. TF 1B_195/2011 du 28 juin 2011 c. 3.1 non publié aux ATF 137 IV 215). Pour qu'une défense d'office soit ordonnée dans un cas de défense facultative, il faut que les conditions posées par l'art. 132 al. 1 let. b CPP – et précisées par l'art. 132 al. 2 et 3 CPP – soient réunies; ces conditions reprennent largement la jurisprudence du Tribunal fédéral en matière d'assistance judiciaire (TF 1B_477/2011 du</w:t>
      </w:r>
    </w:p>
    <w:p>
      <w:r>
        <w:rPr>
          <w:b/>
        </w:rPr>
        <w:t>E. 4</w:t>
      </w:r>
    </w:p>
    <w:p>
      <w:r>
        <w:t>janvier 2012 c. 2.2).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 cette condition étant cumulative, comme cela ressort désormais de l’art. 132 al. 2 CPP (Harari/Aliberti, op. cit., n. 61 ad art. 132 CPP; TF 1B_359/2010 du 13 décembre 2010 c. 3.2) – des difficultés particulières du point de vue de l'établissement des faits ou des questions juridiques soulevées qu'il ne serait pas en mesure de résoudre seul (ATF 128 I 225 c. 2.5.2; ATF 120 Ia 43 c. 2a p. 44 et les références citées; TF 1B_477/2011 du 4 janvier 2012</w:t>
      </w:r>
    </w:p>
    <w:p>
      <w:r>
        <w:t>- 5 - c. 2.2). Si les deux conditions mentionnées à l'art.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(cf. TF 1B_477/2011 du 4 janvier 2012 c. 2.2; Harari/Aliberti, op. cit., n. 64 ad art. 132; Lieber, in: Donatsch/Hansjakob/Lieber [éd.], Kommentar zur Schweizerischen Strafprozessordnung, Zurich/Bâle/Genève 2010, n. 16 ad art. 132; Ruckstuhl, op. cit., n. 36 ad art. 132). Selon la jurisprudence du Tribunal fédéral, le point décisif est toujours de savoir si la désignation d'un avocat d'office est objectivement nécessaire dans le cas d'espèce; 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ATF 123 I 145 c. 2b/cc; ATF 122 I 49 c. 2c/bb; ATF 122 I 275 c. 3a et les arrêts cités; TF 1B_359/2010 du 13 décembre 2010 c. 3.2; TF 1B_195/2011 du 28 juin 2011 c. 3.2).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c) En l’espèce, il ne s’agit pas d’un cas de défense obligatoire, mais d’un cas de défense facultative, de sorte que la défense d'office ne</w:t>
      </w:r>
    </w:p>
    <w:p>
      <w:r>
        <w:t>- 6 - doit être ordonnée que si les conditions de l'art. 132 al. 1 let. b CPP sont réalisées. Il est vrai qu'en l'état le recourant n'est poursuivi que pour calomnie, injure, menaces et tentative de contrainte, de sorte que l’affaire paraît être de peu de gravité au sens de l’art. 132 al. 2 et 3 CPP. Cela étant, le recourant a été condamné le 28 septembre 2010 par le Tribunal correctionnel de la Broye et du Nord vaudois à une peine privative de liberté de dix-huit mois, sous déduction de 183 jours de détention avant jugement, dont dix mois avec sursis pendant cinq ans, peine assortie d’une assistance de probation et d’un traitement ambulatoire, pour dommages à la propriété, violation de domicile, incendie intentionnel (délit manqué) et opposition aux actes de l’autorité. Il a également été condamné le 27 septembre 2012 par le Tribunal criminel de Neuchâtel à une peine privative de liberté de cinq ans, sous déduction de 578 jours de détention avant jugement, pour complicité de meurtre. Le sursis octroyé le 28 septembre 2010 a été révoqué. Le recourant a en outre fait l’objet de onze condamnations en France (cf. P. 12, p. 27). Les lourds antécédents du prévenu sont ainsi susceptibles d'avoir une incidence conséquente sur la fixation de la peine en cas de condamnation. T.________ pourrait donc se voir infliger une peine égale voire supérieure à celles prévues à l’art. 132 al. 2 CPP, si bien que l’affaire n’est pas de peu de gravité. En outre, dans le cadre de l’affaire neuchâteloise, le recourant a été soumis à une expertise psychiatrique qui a révélé la présence de troubles importants qualifiés de «troubles de la personnalité mixte à traits antisociaux et impulsifs de sévérité moyenne» (P. 12, p. 28). Le Tribunal correctionnel de la Broye et du Nord vaudois avait d’ailleurs ordonné un traitement ambulatoire au sens de l’art. 63 CP. On peut en conclure que l’état psychique du recourant ne lui permette pas de surmonter seul les difficultés de l’affaire. De plus, le fait que T.________ soit détenu justifie également qu’un défenseur d’office lui soit nommé (cf. TF 1B_477/2011 précité), quand bien même les plaignants, eux aussi détenus aux EPO, ne sont pas assistés. Enfin, l’indigence du recourant est patente.</w:t>
      </w:r>
    </w:p>
    <w:p>
      <w:r>
        <w:t>- 7 - Par conséquent, les conditions permettant de désigner un défenseur d'office sont réunies, à tout le moins celles qui concernent les cas de défense facultative (art. 132 al. 1 let. b CPP). 3. En définitive, le recours doit être admis et l’ordonnance attaquée réformée en ce sens qu’un défenseur d’office sera désigné au recourant par le Procureur de l'arrondissement du Nord vaudois. Les frais de procédure, constitués du seul émolument d’arrêt, par 770 fr. (art. 20 al. 1 TFJP [Tarif des frais judiciaires pénaux du 28 septembre 2010; RSV 312.03.1]), seront laissés à la charge de l’Etat (art. 428 al. 1 CPP). Par ces motifs, la Chambre des recours pénale, statuant à huis clos, prononce : I. Le recours est admis. II. L’ordonnance attaquée est réformée en ce sens qu’un défenseur d’office sera désigné à T.________ par le Procureur de l'arrondissement du Nord vaudois. III. Les frais de la procédure de recours, par 770 fr. (sept cent septante francs), sont laissés à la charge de l’Etat. IV. Le présent arrêt est exécutoire. Le président : La greffière :</w:t>
      </w:r>
    </w:p>
    <w:p>
      <w:r>
        <w:t>- 8 - Du L'arrêt qui précède, dont la rédaction a été approuvée à huis clos, est notifié, par l'envoi d'une copie complète, à : - M. T.________, - M. W.________, - M. I.________, - Ministère public central, et communiqué à : - M. le Procureur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