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PE12.025000 vom 28. Januar 2015</w:t>
      </w:r>
    </w:p>
    <w:p>
      <w:r>
        <w:t>VD Tribunal cantonal, 2015-01-28, FR</w:t>
      </w:r>
    </w:p>
    <w:p>
      <w:r>
        <w:rPr>
          <w:b/>
        </w:rPr>
        <w:t xml:space="preserve">Quelle: </w:t>
      </w:r>
      <w:r>
        <w:t>https://mcp.opencaselaw.ch/entscheid/vd_gerichte_PE12.025000</w:t>
      </w:r>
    </w:p>
    <w:p>
      <w:r>
        <w:t>FR: VD_GERICHTE PE12.025000 du 28 janvier 2015</w:t>
      </w:r>
    </w:p>
    <w:p>
      <w:r>
        <w:t>IT: VD_GERICHTE PE12.025000 del 28 gennaio 2015</w:t>
      </w:r>
    </w:p>
    <w:p>
      <w:pPr>
        <w:pStyle w:val="Heading2"/>
      </w:pPr>
      <w:r>
        <w:t>Erwägungen</w:t>
      </w:r>
    </w:p>
    <w:p>
      <w:r>
        <w:rPr>
          <w:b/>
        </w:rPr>
        <w:t>E. 6</w:t>
      </w:r>
    </w:p>
    <w:p>
      <w:r>
        <w:t>Il reste à examiner la peine à infliger aux trois prévenus. A cet égard, C.I.________ conteste le montant des jours-amende arrêté par le premier juge. Selon lui, c’est une peine de 30 jours-amende à 25 fr. le jour, avec sursis, qui aurait dû être prononcée.</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- 19 -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w:t>
      </w:r>
    </w:p>
    <w:p>
      <w:r>
        <w:rPr>
          <w:b/>
        </w:rPr>
        <w:t>E. 6.1.2</w:t>
      </w:r>
    </w:p>
    <w:p>
      <w:r>
        <w:t>En l’espèce, la culpabilité des trois prévenus n’est pas négligeable. C.I.________ a délibérément entrepris de créer une porte dans les locaux loués par la société dont sa femme et sa fille sont associées gérantes. Après l’intervention de la police, il n’a pas hésité à les reprendre sans consulter ni le propriétaire, ni l’autorité communale et encore moins avec leur accord. Ce comportement, foncièrement incivique, doit être sanctionné avec une certaine rigueur. Une peine de 30 jours-amende est donc adéquate pour sanctionner son comportement. Au vu de l’absence de hiérarchie qui règne au sein de la famille C.I.________ et du fait qu’A.I.________ et B.I.________ sont gérantes du restaurant, qu’elles ont pleinement adhéré au projet de C.I.________, qui a démoli le mur, qu’elles ont ensuite refusé de remettre en état les lieux, les responsabilités de chacun doivent être considérées comme équivalentes ; partant, c’est également une peine de 30 jours-amende, avec sursis pendant deux ans, qui devra être infligée à A.I.________ et B.I.________.</w:t>
      </w:r>
    </w:p>
    <w:p>
      <w:r>
        <w:rPr>
          <w:b/>
        </w:rPr>
        <w:t>E. 6.2</w:t>
      </w:r>
    </w:p>
    <w:p>
      <w:r>
        <w:t>Quant au montant du jour-amende, le premier juge a relevé que les trois prévenus ne l’avaient pas renseigné complètement sur leur</w:t>
      </w:r>
    </w:p>
    <w:p>
      <w:r>
        <w:t>- 20 - situation financière. Ils n’ont pas été beaucoup plus loquaces lors de l’audience d’appel, leurs déclarations manquant de franchise. Ils ont à l’évidence sous-évalué leurs revenus et exagéré leurs charges. Au vu de ces éléments, il y a lieu de fixer le montant du jour- amende à 30 fr. pour chacun des prévenus.</w:t>
      </w:r>
    </w:p>
    <w:p>
      <w:r>
        <w:rPr>
          <w:b/>
        </w:rPr>
        <w:t>E. 7</w:t>
      </w:r>
    </w:p>
    <w:p>
      <w:r>
        <w:t>Enfin, C.I.________ conteste les conclusions civiles allouées par le premier juge aux parties plaignantes.</w:t>
      </w:r>
    </w:p>
    <w:p>
      <w:r>
        <w:rPr>
          <w:b/>
        </w:rPr>
        <w:t>E. 7.1</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(let. b). La partie plaignante adresse ses prétentions à l’autorité pénale et doit les chiffrer et les justifier (al. 2). Selon la jurisprudence du Tribunal fédéral,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(TF 6B_965/2013 du 3 décembre 2013 c. 3.1.1 ; TF 6B_159/2012 du 22 juin 2012 c.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 2.1 et les références citées).</w:t>
      </w:r>
    </w:p>
    <w:p>
      <w:r>
        <w:rPr>
          <w:b/>
        </w:rPr>
        <w:t>E. 7.2</w:t>
      </w:r>
    </w:p>
    <w:p>
      <w:r>
        <w:t>En l’espèce, la somme de 3'800 fr. de dommages et intérêts pour la réparation de la façade est documentée et sera donc confirmée. La somme de 10'786 fr. 50 allouée à titre de dépens pénaux est excessive. Il n’y a en effet pas lieu à indemniser toute l’activité qui a</w:t>
      </w:r>
    </w:p>
    <w:p>
      <w:r>
        <w:t>- 21 - fait l’objet de deux factures, l’une de 10’786 fr. 50 et l’autre de 1‘641 fr. 60, compte tenu de l’acquittement du chef d’accusations de faux dans les titres et des infractions poursuivies sur plainte. La diminution opérée par le premier juge est trop faible. A défaut de possibilité de faire un décompte précis des opérations liées à chacune des infractions, une indemnité forfaitaire de 6’000 fr. paraît suffisante pour les opérations liées à l’infraction de dommage à la propriété. Les trois prévenus doivent être reconnus solidairement débiteurs de ces sommes.</w:t>
      </w:r>
    </w:p>
    <w:p>
      <w:r>
        <w:rPr>
          <w:b/>
        </w:rPr>
        <w:t>E. 8</w:t>
      </w:r>
    </w:p>
    <w:p>
      <w:r>
        <w:t>Enfin, compte tenu de la condamnation des trois prévenus, une partie des frais de première instance, par 1'000 fr. sera mise à leur charge, solidairement entre eux, le solde étant laissé à la charge de l’Etat.</w:t>
      </w:r>
    </w:p>
    <w:p>
      <w:r>
        <w:rPr>
          <w:b/>
        </w:rPr>
        <w:t>E. 9</w:t>
      </w:r>
    </w:p>
    <w:p>
      <w:r>
        <w:t>En conclusion, l’appel de C.I.________ doit être très partiellement admis et celui des plaignants partiellement admis, le jugement entrepris étant réformé dans le sens des considérants qui précèdent. Vu l’issue de la cause, les frais d’appel, par 2'240 fr., seront mis, par quatre cinquièmes à la charge de C.I.________, A.I.________ et B.I.________, solidairement entre eux, et par un cinquième à la charge de A.R.________ et B.R.________, solidairement entre eux.</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