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PE12.023878 vom 13. Dezember 2012</w:t>
      </w:r>
    </w:p>
    <w:p>
      <w:r>
        <w:t>VD Tribunal cantonal, 2012-12-13, FR</w:t>
      </w:r>
    </w:p>
    <w:p>
      <w:r>
        <w:rPr>
          <w:b/>
        </w:rPr>
        <w:t xml:space="preserve">Quelle: </w:t>
      </w:r>
      <w:r>
        <w:t>https://mcp.opencaselaw.ch/entscheid/vd_gerichte_PE12.023878</w:t>
      </w:r>
    </w:p>
    <w:p>
      <w:r>
        <w:t>FR: VD_GERICHTE PE12.023878 du 13 décembre 2012</w:t>
      </w:r>
    </w:p>
    <w:p>
      <w:r>
        <w:t>IT: VD_GERICHTE PE12.023878 del 13 dicembre 2012</w:t>
      </w:r>
    </w:p>
    <w:p>
      <w:pPr>
        <w:pStyle w:val="Heading2"/>
      </w:pPr>
      <w:r>
        <w:t>Erwägungen</w:t>
      </w:r>
    </w:p>
    <w:p>
      <w:r>
        <w:rPr>
          <w:b/>
        </w:rPr>
        <w:t>E. 1</w:t>
      </w:r>
    </w:p>
    <w:p>
      <w:r>
        <w:t>a) 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t>- 4 - b) En l’espèce, il y a donc lieu d’entrer en matière sur le recours, qui a été interjeté en temps utile devant l’autorité compétente et satisfait aux conditions de forme posées par l’art. 385 al. 1 CPP.</w:t>
      </w:r>
    </w:p>
    <w:p>
      <w:r>
        <w:rPr>
          <w:b/>
        </w:rPr>
        <w:t>E. 2</w:t>
      </w:r>
    </w:p>
    <w:p>
      <w:r>
        <w:t>Concernant tout d'abord le grief du recourant relatif à l'absence de motivation de l'ordonnance de prolongation de la détention provisoire, on soulignera que, selon le Tribunal fédéral, le fait que le premier juge renvoie aux motifs exposés à l'appui de sa précédente ordonnance ne viole pas le droit du recourant à une décision motivée (TF 1P.465/2005 du 30 août 2005 c. 5; ATF 123 I 31 c. 2c). Le Tribunal des mesures de contrainte n'a donc pas violé l'art. 80 CPP en se référant intégralement aux arguments développés dans son ordonnance du 13 décembre 2012. Aussi, le grief de l'absence de motivation, mal fondé, doit- il être rejeté.</w:t>
      </w:r>
    </w:p>
    <w:p>
      <w:r>
        <w:rPr>
          <w:b/>
        </w:rPr>
        <w:t>E. 3</w:t>
      </w:r>
    </w:p>
    <w:p>
      <w:r>
        <w:t>a) Selon l’art. 221 al. 1 CPP, la détention provisoire ne peut être ordonnée – respectivement prolongée –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cependant pas durer plus longtemps que la peine privative de liberté prévisible (art. 212 al. 3 CPP). b) Le recourant ne conteste pas, à juste titre, qu'il existe des indices sérieux de culpabilité susceptibles de justifier son maintien en détention provisoire. A cet égard, on relèvera en particulier que le recourant a reconnu être impliqué dans non moins de quatre ou cinq cambriolages (PV aud. 12, réponse 22), notamment les cambriolages du magasin Denner d'Oron-la-Ville le 9 décembre 2012 (PV aud. 12, réponse</w:t>
      </w:r>
    </w:p>
    <w:p>
      <w:r>
        <w:rPr>
          <w:b/>
        </w:rPr>
        <w:t>E. 8</w:t>
      </w:r>
    </w:p>
    <w:p>
      <w:r>
        <w:t>i.f.), de la Coop de l'Avenue de la Harpe le 22 septembre 2012 (PV aud.</w:t>
      </w:r>
    </w:p>
    <w:p>
      <w:r>
        <w:t>- 5 - 12, réponse 13), de la Coop du Chemin d'Entrebois à une date indéterminée (PV aud. 12, réponse 17) et d'un magasin sis à la rue de Genève 77 (PV aud. 12, réponse 18). Enfin, il a reconnu être entré sans droit dans une cave à Pully, même s'il a contesté y avoir dérobé des bouteilles de vin (PV aud. 12, réponse 12). Au vu de ces éléments, les soupçons qui pèsent sur X.________ sont suffisants pour justifier son maintien en détention provisoire. c) Pour le surplus, la décision entreprise se fonde sur les risques de fuite et de collusion. S'agissant d'un prévenu de nationalité roumaine, sans aucune attache avec la Suisse et ayant lui-même admis ne jamais rester dans notre pays plus d'un mois (PV aud. 12, réponse 13), il existe un risque concret que X.________ tente de se soustraire aux poursuites pénales en cas de libération. Au vu de ces éléments, le risque de fuite apparaît non seulement possible, mais également probable (TF 1B_414/2011 du 5 septembre 2011 c. 3.1). De surcroît, l'un des comparses de X.________, le dénommé "Metaxa" (PV aud. 12, réponses 12, 17 et 21), n'a pas encore pu être identifié à ce jour et des examens rétroactifs des téléphones mobiles des prévenus sont en cours. Ces mesures d’instruction apparaissent nécessaires pour permettre d’établir la nature et l’étendue de l’activité délictueuse du prévenu et il importe que celui-ci ne puisse interférer dans leur bon déroulement, notamment en communiquant avec ses éventuels comparses. Le maintien de X.________ en détention est donc également justifié au regard du risque de collusion. L'affirmation des risques de fuite et de collusion dispense d'examiner s'il existe également un risque de réitération au sens de l'art. 221 al. 1 let. c CPP (TF 1B_249/2011 du 7 juin 2011 c. 2.4).</w:t>
      </w:r>
    </w:p>
    <w:p>
      <w:r>
        <w:t>- 6 - d) Concernant enfin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En l'espèce, X.________ est détenu depuis le 10 décembre 2012, soit depuis moins de trois mois. Il est mis en cause pour vol, dommages à la propriété, violation de domicile et recel. Compte tenu du butin qui aurait été obtenu illégalement, soit plusieurs milliers de francs, de la fréquence de l'activité délictueuse, de l'absence d'autre sources de revenu et du mode opératoire, il n'est pas exclu que les circonstances aggravantes de la bande et/ou du métier puissent être retenues à l'encontre du recourant (art. 139 al. 2 CP), étant rappelé qu'il reviendra au juge du fond d'apprécier cette question (ATF 137 IV 122 c. 3.2). A ce stade, la durée de la détention est donc encore largement compatible avec la peine concrètement encourue par le prévenu en cas de condamnation. Il s'ensuit que le moyen tiré de la violation du principe de proportionnalité est mal fondé. Enfin, aucune mesure de substitution n'apparaît susceptible de prévenir les risques de fuite et de collusion retenus. 4. Il résulte de ce qui précède que le recours, manifestement mal fondé, doit être rejeté. Les frais de la procédure de recours, constitués en l’espèce de l’émolument d'arrêt, par 770 fr. (art. 20 al. 1 TFJP [tarif des frais judiciaires pénaux; RSV 312.03.1]) et des frais imputables à la défense d’office (art. 422 al. 1 et 2 let. a CPP), fixés à 180 fr., plus la TVA par 14 fr. 40, soit un</w:t>
      </w:r>
    </w:p>
    <w:p>
      <w:r>
        <w:t>- 7 - total de 194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X.________ est fixée à 194 fr. 40 (cent nonante-quatre francs et quarante centimes), TVA comprise. IV. Les frais du présent arrêt, par 770 fr. (sept cent septante francs), ainsi que l'indemnité due au défenseur d'office de X.________, par 194 fr. 40 (cent nonante-quatre francs et quarante centimes), sont mis à la charge de celui-ci. V. Le remboursement à l'Etat de l'indemnité allouée au chiffre III. ci-dessus sera exigible pour autant que la situation économique de X.________ se soit améliorée. VI. Le présent arrêt est exécutoire. Le vice-président : La greffière :</w:t>
      </w:r>
    </w:p>
    <w:p>
      <w:r>
        <w:t>- 8 - Du L'arrêt qui précède, dont la rédaction a été approuvée à huis clos, est notifié, par l'envoi d'une copie complète, à : - M. Alexandre Curchod, avocat (pour X.________),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