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PE12.023487 vom 5. Juni 2014</w:t>
      </w:r>
    </w:p>
    <w:p>
      <w:r>
        <w:t>VD Tribunal cantonal, 2014-06-05, FR</w:t>
      </w:r>
    </w:p>
    <w:p>
      <w:r>
        <w:rPr>
          <w:b/>
        </w:rPr>
        <w:t xml:space="preserve">Quelle: </w:t>
      </w:r>
      <w:r>
        <w:t>https://mcp.opencaselaw.ch/entscheid/vd_gerichte_PE12.023487</w:t>
      </w:r>
    </w:p>
    <w:p>
      <w:r>
        <w:t>FR: VD_GERICHTE PE12.023487 du 5 juin 2014</w:t>
      </w:r>
    </w:p>
    <w:p>
      <w:r>
        <w:t>IT: VD_GERICHTE PE12.023487 del 5 giugno 2014</w:t>
      </w:r>
    </w:p>
    <w:p>
      <w:pPr>
        <w:pStyle w:val="Heading2"/>
      </w:pPr>
      <w:r>
        <w:t>Erwägungen</w:t>
      </w:r>
    </w:p>
    <w:p>
      <w:r>
        <w:rPr>
          <w:b/>
        </w:rPr>
        <w:t>E. 4</w:t>
      </w:r>
    </w:p>
    <w:p>
      <w:r>
        <w:t>L’appelant conteste sa condamnation pour voies de faits et lésions corporelles par négligence. Il soutient que les deux gifles infligées à son fils ne constituent que des voies de fait, ce dernier n’ayant pas ressenti de douleur particulière et ayant une peau délicate. Il explique également que son comportement était licite, dès lors qu’il a agi en état de légitime défense.</w:t>
      </w:r>
    </w:p>
    <w:p>
      <w:r>
        <w:rPr>
          <w:b/>
        </w:rPr>
        <w:t>E. 4.1.1</w:t>
      </w:r>
    </w:p>
    <w:p>
      <w:r>
        <w:t>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119 IV 25 consid. 2a p. 26 ; 107 IV 40 consid. 5c p. 42 ; 103 IV 65 consid. 2c p. 70).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119 IV 25 consid. 2a p. 26 ; 117 IV 14 consid. 2a p. 15 ss). La distinction entre lésions corporelles et voies de fait peut se révéler délicate, notamment lorsque l’atteinte est limitée à des meurtrissures, des écorchures, des griffures ou des contusions. Ainsi, une</w:t>
      </w:r>
    </w:p>
    <w:p>
      <w:r>
        <w:t>- 12 - éraflure au nez avec contusion a été considérée comme une voie de fait ;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 de même de nombreux coups de poing et de pied provoquant chez l’une des victimes des marques dans la région de l’œil et une meurtrissure de la lèvre inférieures et chez l’autre une meurtrissure de la mâchoire inférieure, une contusion des côtes, des écorchures de l’avant-bras et de la main (ATF 119 IV 25 consid. 2a p. 26/27). La question peut parfois être résolue de manière satisfaisante par l’application de l’art. 123 ch. 1 al. 2 CP, qui permet une atténuation libre de la peine dans les cas de peu de gravité (cf. ATF 119 IV 25 consid. 2a p. 27). Dans les cas limites, il faut tenir compte de l’importance de la douleur provoquée, afin de déterminer s’il s’agit de lésions corporelles simples ou de voies de fait. Comme les notions de voies de fait et d’atteinte à l’intégrité corporelle, qui sont décisives pour l’application des art. 123 et 126 CP, sont des notions juridiques indéterminées, la jurisprudence reconnaît, dans ces cas, une certaine marge d’appréciation au juge du fait car l’établissement des faits et l’interprétation de la notion juridique indéterminée sont étroitement liés. Dans ces circonstances, le Tribunal fédéral s’impose une certaine réserve dans la critique de l’interprétation faite par l’autorité cantonale, dont il ne s’écarte que si cela s’avère nécessaire (ATF 119 IV 25 consid. 2a p. 27 et les arrêts cités).</w:t>
      </w:r>
    </w:p>
    <w:p>
      <w:r>
        <w:rPr>
          <w:b/>
        </w:rPr>
        <w:t>E. 4.1.2</w:t>
      </w:r>
    </w:p>
    <w:p>
      <w:r>
        <w:t>En vertu de l’art. 14 CP, quiconque agit comme la loi l’ordonne ou l’autorise se comporte de manière licite, même si l’acte est punissable en vertu du présent code ou d’une autre loi. Le Tribunal fédéral a précisé la portée du droit de correction à l’égard des enfants (ATF 129 IV 216). Après avoir rappelé que plusieurs conventions internationales tendaient à protéger les enfants contre toute forme de violences et de traitements dégradants et que la Constitution suisse protégeait spécifiquement l’intégrité des enfants et des jeunes (art.</w:t>
      </w:r>
    </w:p>
    <w:p>
      <w:r>
        <w:t>- 13 - 10 et 11 Cst.), il a considéré que le droit de correction était exclu en cas de voies de fait répétées (art. 126 al. 2 CP) et de lésions corporelles (art. 122 et 123 CP). Le parent ne saurait pas non plus utiliser un instrument propre à causer des lésions corporelles. La question de savoir s’il était permis d’infliger de légères corrections corporelles a en revanche été laissée ouverte. En effet, dans le cas d’espèce, l’auteur avait donné des coups de pied au derrière et des gifles aux enfants de son amie à une dizaine de reprises en l’espace de trois ans et leur avait régulièrement tiré les oreilles, de sorte qu’il avait dépassé ce qui était admissible au regard d’un éventuel droit de correction (TF 6S.178/2005 du 22 juin 2005 consid. 3.1). Le Tribunal fédéral a souligné l’évolution restrictive du droit de correction.</w:t>
      </w:r>
    </w:p>
    <w:p>
      <w:r>
        <w:rPr>
          <w:b/>
        </w:rPr>
        <w:t>E. 4.1.3</w:t>
      </w:r>
    </w:p>
    <w:p>
      <w:r>
        <w:t>En vertu de l’art. 15 CP, quiconque, de manière contraire au droit, est attaqué ou menacé d’une attaque imminente a le droit de repousser l’attaque par des moyens proportionnés aux circonstances. Selon l’art. 16 CP, si l’auteur, en repoussant une attaque, a excédé les limites de la légitime défense au sens de l’art. 15 CP, le juge atténue la peine (al. 1). Si cet excès provient d’un état excusable d’excitation ou de saisissement causé par l’attaque, l’auteur n’agit pas de manière coupable (al. 2).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ATF 104 IV 232 consid. c). Cette condition n’est pas réalisée lorsque l’attaque a cessé ou qu’il n’y a pas encore lieu de s’y attendre (ATF 93 IV 81 consid. a). Une attaque n’est cependant pas achevée aussi longtemps que le risque d’une nouvelle atteinte ou d’une aggravation de celle-ci par l’assaillant reste imminent (ATF 102 IV 1 consid. 2b). S’agissant en particulier de la menace d’une attaque imminente contre la vie ou l’intégrité corporelle, celui qui est visé n’a évidemment pas à attendre jusqu’à ce qu’il soit trop tard pour se</w:t>
      </w:r>
    </w:p>
    <w:p>
      <w:r>
        <w:t>- 14 - défendre ; il faut toutefois que des signes concrets annonçant un danger incitent à la défense. Tel est notamment le cas lorsque l’agresseur adopte un comportement menaçant, se prépare au combat ou effectue des gestes qui donnent à le penser (ATF 93 IV 81 consid. a). Par ailleurs, l’acte de celui qui est attaqué ou menacé de l’être doit tendre à la défense ; un comportement visant à se venger ou à punir ne relève pas de la légitime défense ; il en va de même du comportement qui tend à prévenir une attaque certes possible mais encore incertaine, c’est-à-dire à neutraliser l’adversaire selon le principe que la meilleure défense est l’attaque (TF 6B_926/2009 du 15 décembre 2009 consid. 3.2 et la jurisprudence citée).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La proportionnalité des moyens de défense se détermine d'après la situation de celui qui voulait repousser l'attaque au moment où il a agi.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consid. 3.2 ; ATF 107 IV 12 consid. 3 ; ATF 102 IV 65 consid. 2a).</w:t>
      </w:r>
    </w:p>
    <w:p>
      <w:r>
        <w:rPr>
          <w:b/>
        </w:rPr>
        <w:t>E. 4.2</w:t>
      </w:r>
    </w:p>
    <w:p>
      <w:r>
        <w:t>Le premier juge a retenu les lésions corporelles par négligence pour les deux gifles, puis les voies de fait pour la mise et le maintien à terre de l’enfant. En l’occurrence, l’appelant a giflé son fils, au motif que celui-ci avait déballé une boîte de jeux à laquelle il ne devait pas toucher avant les fêtes de Noël. Dans son constat du 27 novembre 2012, le Dr N.________ a constaté une large ecchymose au niveau de la joue gauche remontant</w:t>
      </w:r>
    </w:p>
    <w:p>
      <w:r>
        <w:t>- 15 - jusqu’au bord de l’orbite gauche et dont la forme correspond à celle d’une empreinte de doigts ; il n’y a pas d’atteinte du globe oculaire ; le médecin a également noté des douleurs à la palpation du processus coracoïde et de l’acromion de l’épaule gauche et d’une ecchymose au niveau de l’épaule gauche au niveau sous claviculaire gauche ainsi que de petites ecchymoses dorsale des deux côtés. Le Service des urgences des établissements hospitaliers du Nord vaudois a effectué une radiographie de l’épaule de C.F.________, conclu à une contusion de l’épaule et prescrit des antidouleurs à l’enfant. La gifle sur la joue gauche de l’enfant a été infligée avec une extrême violence au regard de l’ecchymose provoquée qui couvre la quasi-totalité de la partie gauche du visage de l’enfant. De plus, ce dernier avait encore des douleurs le lendemain des événements et s’est vu prescrire des médicaments. En outre, la victime est un jeune garçon de 11 ans pesant 43 kg. De plus, on peut rappeler que ce n’est pas la première fois que le père levait la main sur son fils, lequel présente de surcroît un handicap. Au regard de l’ensemble de ces éléments, ce sont bien les lésions corporelles et non pas les voies de fait qui doivent être retenues. En revanche, on ne saurait modifier, dans le cadre de l’appel, les voies de fait retenues et les remplacer par des lésions corporelles compte tenu du principe de l’interdiction de la reformatio in pejus (cf. ATF 139 IV 282). Les violences commises dépassent largement ce qui pourrait entrer dans le droit éventuel d’infliger de légères corrections. L’appelant a manifestement excédé son devoir de correction et son comportement ne peut être considéré comme licite en application de l’art. 14 CP. De plus, au regard du déroulement des faits tel que retenu ci- dessus, la légitime défense ne peut en aucun cas être retenue, l’enfant ayant mordu son père suite aux gifles infligées par ce dernier et non l’inverse. Le comportement de l’appelant visait à punir et ne peut être considéré comme licite en application de l’art. 15 CP. On peut encore relever que l’appelant a agi à tout le moins par dol éventuel et non par négligence. En portant des coups à son enfant</w:t>
      </w:r>
    </w:p>
    <w:p>
      <w:r>
        <w:t>- 16 - avec une telle force, il ne pouvait que savoir et acceptait le résultat tel qu’il est survenu. On ne saurait toutefois retenir les lésions corporelles simples par dol éventuel plutôt que par négligence compte tenu de l’interdiction de la reformatio in pejus (cf. ATF 139 IV 282).</w:t>
      </w:r>
    </w:p>
    <w:p>
      <w:r>
        <w:rPr>
          <w:b/>
        </w:rPr>
        <w:t>E. 5</w:t>
      </w:r>
    </w:p>
    <w:p>
      <w:r>
        <w:t>La quotité de la peine n’est pas contestée. Elle est par ailleurs conforme aux exigences de l’art. 47 CP, est adéquate et correspond à la culpabilité du prévenu. Elle doit donc être confirmée.</w:t>
      </w:r>
    </w:p>
    <w:p>
      <w:r>
        <w:rPr>
          <w:b/>
        </w:rPr>
        <w:t>E. 6.1</w:t>
      </w:r>
    </w:p>
    <w:p>
      <w:r>
        <w:t>La plaignante a requis l’octroi d’une indemnité équitable pour la procédure d’appel. Elle n’a toutefois ni chiffré ni justifié ses prétentions quant aux dépenses occasionnées par la procédure. Or, l’art. 433 CPP exclut qu’une telle indemnité soit allouée d'office (TF 1B_475/2011 c. 2.2 et les références citées), de sorte qu’il ne lui sera pas accordé de dépens pénaux de seconde instance (CAPE 3 octobre 2014/725).</w:t>
      </w:r>
    </w:p>
    <w:p>
      <w:r>
        <w:rPr>
          <w:b/>
        </w:rPr>
        <w:t>E. 6.2</w:t>
      </w:r>
    </w:p>
    <w:p>
      <w:r>
        <w:t>A.F.________ a conclu à l’allocation d’une indemnité, au sens de l’art. 429 CPP, de 13'372 fr. 55 pour la procédure d’appel. En l’espèce, l’appelant est libéré du chef d’accusation de voies de fait qualifiées, non pas pour les moyens qu’il a faits valoir mais en raison du nouvel examen au fond effectué par la Cour de céans. Il n’y a donc pas lieu à indemnité au sens de l’art. 429 CPP.</w:t>
      </w:r>
    </w:p>
    <w:p>
      <w:r>
        <w:rPr>
          <w:b/>
        </w:rPr>
        <w:t>E. 7</w:t>
      </w:r>
    </w:p>
    <w:p>
      <w:r>
        <w:t>En définitive, l'appel doit être très partiellement admis et le jugement attaqué modifié dans le sens des considérants. Vu l'issue de la cause, les frais d'appel, constitués du seul émolument de 1’800 fr. (art. 21 al. 1 et 2 TFIP [Tarif des frais de procédure et indemnités en matière pénale du 28 septembre 2010; RSV 312.03.1]) seront mis à la charge de A.F.________ (art. 428 al. 1 CPP).</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