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PE12.023098 vom 29. Januar 2015</w:t>
      </w:r>
    </w:p>
    <w:p>
      <w:r>
        <w:t>VD Tribunal cantonal, 2015-01-29, FR</w:t>
      </w:r>
    </w:p>
    <w:p>
      <w:r>
        <w:rPr>
          <w:b/>
        </w:rPr>
        <w:t xml:space="preserve">Quelle: </w:t>
      </w:r>
      <w:r>
        <w:t>https://mcp.opencaselaw.ch/entscheid/vd_gerichte_PE12.023098</w:t>
      </w:r>
    </w:p>
    <w:p>
      <w:r>
        <w:t>FR: VD_GERICHTE PE12.023098 du 29 janvier 2015</w:t>
      </w:r>
    </w:p>
    <w:p>
      <w:r>
        <w:t>IT: VD_GERICHTE PE12.023098 del 29 gennaio 2015</w:t>
      </w:r>
    </w:p>
    <w:p>
      <w:pPr>
        <w:pStyle w:val="Heading2"/>
      </w:pPr>
      <w:r>
        <w:t>Erwägungen</w:t>
      </w:r>
    </w:p>
    <w:p>
      <w:r>
        <w:rPr>
          <w:b/>
        </w:rPr>
        <w:t>E. 5</w:t>
      </w:r>
    </w:p>
    <w:p>
      <w:r>
        <w:t>L’appelant par voie de jonction soutient que son comportement retenu dans le cas 2.1 ci-dessus ne serait pas constitutif d’une mise en danger de la vie d’autrui au sens de l’art. 129 CP.</w:t>
      </w:r>
    </w:p>
    <w:p>
      <w:r>
        <w:rPr>
          <w:b/>
        </w:rPr>
        <w:t>E. 5.1</w:t>
      </w:r>
    </w:p>
    <w:p>
      <w:r>
        <w:t>L’art. 129 CP réprime le comportement de celui qui, sans scrupules, aura mis autrui en danger de mort imminent. Le danger de mort imminent, élément constitutif de l’art. 129 CP, suppose d’abord un danger apparaissant comme très possible ou vraisemblable (ATF 134 IV 8).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3e édition, Berne 2010, n. 11 ad art. 129 CP ; ATF 121 IV 67, TF 6S.322/2005 du 30 septembre 2005).</w:t>
      </w:r>
    </w:p>
    <w:p>
      <w:r>
        <w:t>- 17 -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 et al., Petit commentaire du Code pénal, Bâle 2012, n. 14 ad art. 129 CP). Plus le danger connu de l’auteur est grand et moins ses mobiles méritent attention, plus l’absence de scrupules apparaît comme évidente (Corboz, op. cit., n. 28 ad art. 129 CP ; TF 65.128/2003 du 13 août 2003 consid. 4.1.2 ; ATF 114 IV 103 consid. 2a).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5.2</w:t>
      </w:r>
    </w:p>
    <w:p>
      <w:r>
        <w:t>En l’espèce, R.________ a lancé son véhicule à pleine vitesse sur deux piétons. Il a fallu l'extraordinaire sang-froid du policier L.________ qui a bloqué son déplacement afin de repartir dans l'autre direction pour éviter à 50 centimètres voire à 1 mètre le choc avec le véhicule du prévenu. Le danger de mort était donc manifeste. R.________ fait plaider</w:t>
      </w:r>
    </w:p>
    <w:p>
      <w:r>
        <w:t>- 18 - qu'un choc entre un piéton et un véhicule lancé à 40 km/h causerait la mort d'un piéton dans 30% des cas. La question n'est pas de savoir si le choc tue, mais s'il est propre à causer la mort : on ne parle pas du résultat mais du danger que le résultat se produise. Il est évident qu'un choc entre un piéton et une voiture circulant à 40 km/h est susceptible d'entraîner un danger de mort vraisemblable ou très possible (ATF 121 IV 70), comme le fait de pointer un couteau effilé sur la gorge de sa victime : pointer un couteau sur la gorge d'une personne ne tue en soi pas, mais le risque de danger de mort que fait courir l'auteur à sa victime est vraisemblable car il suffit d'une réaction malheureuse de la victime pour que le danger se réalise. Concernant la notion d'imminence, celle-ci évoque une notion temporelle. Il faut être en présence d'un lien de connexité direct et étroit entre le danger créé et le comportement adopté par l'auteur (ATF 133 IV 1). Le fait de passer à une distance de 50 centimètres à 1 mètre de piétons en mouvement à une allure de 40 km/h constitue une mise en danger concrète et imminente de la vie de ces piétons. En effet, comme l’ont relevé les premiers juges, ceux-ci peuvent, sous l'effet de la peur, adopter un comportement imprévisible pour le conducteur du véhicule (jgt., p. 31). Il s'ensuit que tous les éléments objectifs de l'infraction soit le comportement dangereux, le danger de mort imminent ainsi que le lien de causalité sont réunis. L’appelant par voie de jonction conteste également l'intention. Il fait valoir qu'il a tout fait pour éviter de créer un risque. Il ressort toutefois de l'état de fait que ce dernier a décidé de lancer son véhicule à pleine vitesse en direction des plaignants qu'il avait vus, au point qu'ils ont été terrorisés. L.________ a été épargné de justesse par la voiture qui lui fonçait dessus. L'intention ne fait donc aucun doute. Pris dans son ensemble, l'acte dénote d'un manque singulier de scrupules, comme l’ont expliqué les premiers juges (jgt., p. 31). Au vu de ce qui précède, il doit être retenu que la vie des deux plaignants a été mise en danger de manière concrète et imminente par le comportement du prévenu. Le moyen doit dès lors être rejeté.</w:t>
      </w:r>
    </w:p>
    <w:p>
      <w:r>
        <w:t>- 19 - II. Appel du Ministère public</w:t>
      </w:r>
    </w:p>
    <w:p>
      <w:r>
        <w:rPr>
          <w:b/>
        </w:rPr>
        <w:t>E. 6</w:t>
      </w:r>
    </w:p>
    <w:p>
      <w:r>
        <w:t>Le Ministère public conteste la quotité de la peine privative de liberté prononcée par les premiers juges. Il considère qu’elle serait trop clémente pour sanctionner adéquatement les faits retenus à la charge du prévenu et propose une peine privative de liberté de 18 mois. R.________ a, quant à lui, conclu à sa condamnation à une peine privative de liberté inférieure à 8 mois assortie du sursis en raison de sa réinsertion sociale.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t>- 20 -</w:t>
      </w:r>
    </w:p>
    <w:p>
      <w:r>
        <w:rPr>
          <w:b/>
        </w:rPr>
        <w:t>E. 6.1.2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6.2</w:t>
      </w:r>
    </w:p>
    <w:p>
      <w:r>
        <w:t>- 21 -</w:t>
      </w:r>
    </w:p>
    <w:p>
      <w:r>
        <w:rPr>
          <w:b/>
        </w:rPr>
        <w:t>E. 6.2.1</w:t>
      </w:r>
    </w:p>
    <w:p>
      <w:r>
        <w:t>En l’espèce, la culpabilité de R.________ est importante. Il a commis un acte dangereux, gratuit et stupide, qui aurait pu avoir des conséquences fatales. Son casier judiciaire est chargé et il a en outre récidivé en cours d'enquête. Par ailleurs, ses tergiversations et son parcours délictueux démontrent qu’il n'a pas pris conscience de ses fautes. Au vu de ce qui précède et procédant ainsi à sa propre appréciation de l’affaire, la Cour de céans considère que c’est une peine privative de liberté de 18 mois et non de 8 mois qui doit être prononcée.</w:t>
      </w:r>
    </w:p>
    <w:p>
      <w:r>
        <w:rPr>
          <w:b/>
        </w:rPr>
        <w:t>E. 6.2.2</w:t>
      </w:r>
    </w:p>
    <w:p>
      <w:r>
        <w:t>Il reste à déterminer si le prévenu peut être mis au bénéfice du sursis. L’intéressé ne semble être guère sensible à la sanction pénale, ses cinq précédentes condamnations n’étant pas parvenues à le détourner de la commission de nouvelles infractions. Cependant, on relève qu’il n'a pas subi de lourdes condamnations bien que son casier judiciaire indique quelques jours de détention préventive subie dans le cadre d'une précédente affaire pénale de 2007 qui constitue la sanction la plus lourde de son casier judiciaire (peine privative de liberté de 6 mois avec sursis). S'ajoutent à cela les efforts louables de réinsertion sociale du prévenu qui démontrent son désir de vouloir se réintégrer professionnellement. Le pronostic à poser quant au comportement futur de R.________ étant ainsi mitigé, on peut admettre que l’exécution d’une partie de la peine privative de liberté suffira à le détourner d’autres crimes ou délits. Ainsi, au vu de ce qui précède, la peine privative de liberté de 18 mois infligée au prévenu doit être suspendue à raison de 9 mois, le solde de 9 mois devant être ferme et le délai d’épreuve fixé à 5 ans. Le grief invoqué par le Ministère public doit donc être partiellement admis. III. Appel de L.________ et Y.________</w:t>
      </w:r>
    </w:p>
    <w:p>
      <w:r>
        <w:rPr>
          <w:b/>
        </w:rPr>
        <w:t>E. 7</w:t>
      </w:r>
    </w:p>
    <w:p>
      <w:r>
        <w:t>Les appelants contestent le montant qui leur a été alloué à titre d'indemnité au sens de l'art. 433 CPP. Ils requièrent que l’entier des frais d’avocat que leur a occasionné la procédure leur soit alloué, soit un montant de 13'588 francs.</w:t>
      </w:r>
    </w:p>
    <w:p>
      <w:r>
        <w:t>- 22 -</w:t>
      </w:r>
    </w:p>
    <w:p>
      <w:r>
        <w:rPr>
          <w:b/>
        </w:rPr>
        <w:t>E. 7.1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w:t>
      </w:r>
    </w:p>
    <w:p>
      <w:r>
        <w:t>- 23 -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7.2</w:t>
      </w:r>
    </w:p>
    <w:p>
      <w:r>
        <w:t>En l’espèce, les premiers juges ont considéré, concernant les plaignants, qu'une vingtaine d'heures d’activité d’avocat était raisonnable pour le remboursement de leurs dépenses obligatoires occasionnées par la procédure. Me Cajas, défenseur d'office du prévenu en première instance, a obtenu une indemnité de 5'509 fr., correspondant, au tarif horaire de 180 francs, à 24,6 heures d’activité hors débours et TVA. Me Capt réclame pour les parties plaignantes une indemnité de 13'588 fr., correspondant, au tarif horaire de 350 francs, à 33 heures d’activité, sans la TVA et les débours. Il y a donc une différence entre les deux indemnités de 8,4 heures étant précisé que Me Cajas avait aussi à s'occuper d'un dossier complémentaire d'injure, certes simple, et que pour Me Capt la tâche n’était pas d’une grande complexité dès lors que le Ministère public constituait un allié de poids. Par conséquent, sur les 33 heures annoncées par Me Capt, il y aurait 7,5 heures d'audience ─ audience de jugement comprise ─ et il resterait, si l'on s'en tient au calcul opéré par les premiers juges, une douzaine d'heures pour le suivi du dossier, la plaidoirie, les conférences avec les clients et l'assistance de ces derniers aux auditions. Ce temps de travail n’est pas suffisant. Il convient d’allouer le même nombre d’heures que celui accordé au défenseur d’office du prévenu, soit 24,6 heures d’activité au tarif horaire de 350 fr., ce qui conduit à fixer l'indemnité au montant de 8'610 fr., plus les débours, par 430 fr. 50 (5% de 8'610 fr.), et la TVA, par 723 fr. 25., soit une indemnité totale de 9'763 fr. 75. L'appel sera par conséquent admis sur ce point.</w:t>
      </w:r>
    </w:p>
    <w:p>
      <w:r>
        <w:rPr>
          <w:b/>
        </w:rPr>
        <w:t>E. 8</w:t>
      </w:r>
    </w:p>
    <w:p>
      <w:r>
        <w:t>En définitive, l’appel de L.________ et Y.________ doit être admis et celui du Ministère public partiellement admis. L’appel joint de R.________</w:t>
      </w:r>
    </w:p>
    <w:p>
      <w:r>
        <w:t>- 24 - doit être rejeté. Le jugement entrepris doit être réformé dans le sens des considérants et confirmé pour le surplus.</w:t>
      </w:r>
    </w:p>
    <w:p>
      <w:r>
        <w:rPr>
          <w:b/>
        </w:rPr>
        <w:t>E. 8.1</w:t>
      </w:r>
    </w:p>
    <w:p>
      <w:r>
        <w:t>L'indemnité de défenseur d'office allouée à Me Laurent Fischer pour la procédure d'appel sera fixée à 3’099 fr. 60, TVA et débours compris, correspondant à 15 heures d’activité à 180 fr., une vacation à 120 fr. et 50 fr. de débours.</w:t>
      </w:r>
    </w:p>
    <w:p>
      <w:r>
        <w:rPr>
          <w:b/>
        </w:rPr>
        <w:t>E. 8.2</w:t>
      </w:r>
    </w:p>
    <w:p>
      <w:r>
        <w:t>Vu l’issue de la cause, les frais d’appel, constitués de l’émolument de jugement, par 2'460 fr., ainsi que de l’indemnité allouée au défenseur d'office de R.________, par 3'099 fr. 60, sont mis à la charge de ce dernier (art. 428 al. 1 CPP). R.________ ne sera tenu de rembourser à l’Etat le montant de l’indemnité d'office précitée que lorsque sa situation financière le permettra (art. 135 al. 4 let. a CPP).</w:t>
      </w:r>
    </w:p>
    <w:p>
      <w:r>
        <w:rPr>
          <w:b/>
        </w:rPr>
        <w:t>E. 8.3</w:t>
      </w:r>
    </w:p>
    <w:p>
      <w:r>
        <w:t>L.________ et Y.________ ont requis que leur soit allouée une indemnité équitable sur la base d’une note d’honoraires de laquelle il ressort que la procédure d’appel aurait occasionné 8 heures et 12 minutes d’activité à leur conseil à un tarif horaire de 350 francs et que cette durée ne comprenait pas la durée de l’audience d’appel. Compte tenu des caractéristiques de la cause et du fait que leur conseil les avait déjà assistés en première instance, c’est une indemnité de 3'024 fr., TVA compris, qui doit être octroyée aux plaignants en application de l’art. 433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