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PE12.022316 vom 10. April 2014</w:t>
      </w:r>
    </w:p>
    <w:p>
      <w:r>
        <w:t>VD Tribunal cantonal, 2014-04-10, FR</w:t>
      </w:r>
    </w:p>
    <w:p>
      <w:r>
        <w:rPr>
          <w:b/>
        </w:rPr>
        <w:t xml:space="preserve">Quelle: </w:t>
      </w:r>
      <w:r>
        <w:t>https://mcp.opencaselaw.ch/entscheid/vd_gerichte_PE12.022316</w:t>
      </w:r>
    </w:p>
    <w:p>
      <w:r>
        <w:t>FR: VD_GERICHTE PE12.022316 du 10 avril 2014</w:t>
      </w:r>
    </w:p>
    <w:p>
      <w:r>
        <w:t>IT: VD_GERICHTE PE12.022316 del 10 aprile 2014</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le prévenu qui a qualité pour recourir en tant qu’il est personnellement et</w:t>
      </w:r>
    </w:p>
    <w:p>
      <w:r>
        <w:t>- 4 - directement touché par les effets accessoires de cette décision de clôture (art. 382 al. 1 CPP), le recours est recevable.</w:t>
      </w:r>
    </w:p>
    <w:p>
      <w:r>
        <w:rPr>
          <w:b/>
        </w:rPr>
        <w:t>E. 2</w:t>
      </w:r>
    </w:p>
    <w:p>
      <w:r>
        <w:t>Le recourant reproche au procureur d’avoir rejeté ses prétentions, pour le motif qu’elles avaient été formulées tardivement, soit après l’échéance de l’avis de prochaine clôture prolongé au 18 novembre 2013. Cette question peut être laissée ouverte, dans la mesure où le recours doit de toute manière être rejeté pour les motifs exposés aux considérants 3 et 4 ci-dessous, la motivation subsidiaire de l’ordonnance étant approuvée.</w:t>
      </w:r>
    </w:p>
    <w:p>
      <w:r>
        <w:rPr>
          <w:b/>
        </w:rPr>
        <w:t>E. 3</w:t>
      </w:r>
    </w:p>
    <w:p>
      <w:r>
        <w:t>Le recourant réclame une indemnité pour les dépenses occasionnées par l’exercice raisonnable de ses droits de procédure, au sens de l’art. 429 al. 1 let. a CPP. a) Le prévenu mis hors de cause a en principe droit à une indemnité au sens de l’art. 429 al. 1 let. a CPP dès l’instant où les frais sont laissés à la charge de l’Etat (ATF 137 IV 352 c.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w:t>
      </w:r>
    </w:p>
    <w:p>
      <w:r>
        <w:t>- 5 - lorsque la procédure fait immédiatement l’objet d’un classement après une première audition (ATF 138 IV 197 c. 2.3.5 et les références citées ; TF 6B_387/2013 du 8 juillet 2013 c. 2.1). b) En l’espèce, le recourant a procédé personnellement jusqu’au 21 décembre 2012 (cf. P. 20), époque à laquelle Me Aline Bonard a été constituée avocat. En particulier, il a agi sans l’assistance d’un conseil devant la Chambre des recours pénale en 2012. Ainsi, et quoi qu’en dise la doctrine citée par le recourant, on ne voit quels frais de défense devraient être indemnisés avant la constitution de Me Bonard. Pour le surplus, l’instruction a été ouverte pour violation simple des règles de la circulation (art. 90 al. 1 LCR [Loi fédérale sur la circulation routière ; RS 741.01]) et violation des devoirs en cas d’accident (art. 92 al. 1 LCR), soit pour de simples contraventions. L’affaire ne se distingue pas par sa complexité, bien qu’elle ait pris avec le temps une certaine ampleur. Le classement de la procédure sur la prévention de violation des devoirs en cas d’accident ne se fonde pas sur de subtils raisonnements juridiques, mais sur l’insuffisance de charges. Par ailleurs, on relève que le recourant est titulaire du brevet d’avocat et qu’il a obtenu gain de cause en agissant seul devant la cour de céans sur une question de procédure. Dans ces circonstances, il faut admettre avec le Ministère public que le recours à un avocat ne s’inscrivait pas dans l’exercice raisonnable des droits de procédure, au sens de l’art. 429 al. 1 let. a CPP.</w:t>
      </w:r>
    </w:p>
    <w:p>
      <w:r>
        <w:rPr>
          <w:b/>
        </w:rPr>
        <w:t>E. 4</w:t>
      </w:r>
    </w:p>
    <w:p>
      <w:r>
        <w:t>Le recourant demande une indemnité pour tort moral de 1'000 fr., en relation avec le mandat d’amener décerné contre lui le 21 novembre 2012, ainsi qu’un montant de 500 fr. correspondant à la perte de gain éprouvée par son épouse qui, à cause de ladite mesure, aurait dû s’occuper des enfants à la place de son mari. a) Selon l’art. 431 al. 1 CPP, si le prévenu a, de manière illicite, fait l’objet de mesures de contrainte, l’autorité pénale lui alloue une juste indemnité et réparation du tort moral (al. 1). Les mesures de contrainte sont toutes celles envisagées aux art. 201 ss CPP. Il s’agit de tous les actes de procédure des autorités pénales qui portent atteinte aux droits</w:t>
      </w:r>
    </w:p>
    <w:p>
      <w:r>
        <w:t>- 6 - fondamentaux des personnes concernées, soit notamment la privation de la liberté, le prélèvement d’échantillons sanguins, la garantie de la propriété, le séquestre, la protection de la sphère privée, la surveillance par poste et télécommunication (Moreillon/Parein-Reymond, Code de procédure pénale, Petit commentaire, Bâle 2013, n. 2 ad art. 431 CPP et la réf. cit.). Selon la jurisprudence, il n'est pas exclu de s'inspirer des règles générales des art. 41 ss CO pour l'application de l'art. 431 CPP, notamment pour le montant de l'indemnisation (TF 6B_17/2014 du 1er juillet 2014 c. 2.6). L’obtention d’une indemnisation de ce chef implique la démonstration par l’intéressé de son dommage ou du tort moral subi (TF 6B_917/2013 du 6 novembre 2013 c. 1 ; Wehrenberg/Bernhard, in : Niggli/Heer/Wiprächtiger [éd], Basler Kommentar, Schweizerische Strafprozessordnung, Jugendstrafprozessordnung, Bâle 2011, n. 9 ad art. 431 CPP). La réparation du tort moral selon l’art. 431 al. 1 CPP suppose donc, comme l’indemnité pour tort moral fondée sur l’art. 429 al. 1 let. c CPP, une atteinte particulièrement grave à la personnalité, selon les critères de l’art. 49 CO (Wehrenberger/ Bernhard, op. cit., n. 27 ad art. 429 CPP ; Griesser, in : Donatsch/Hansjakob/Lieber [éd.], Kommentar zur Schweizerischen Strafprozessordnung, Zurich 2010,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in : Donatsch/ Hansjakob/Lieber [éd.], op. cit., n. 7 ad art. 429 CPP ; Schmid, Praxiskommentar, Schweizerische Strafprozessordnung, Zurich/St-Gall 2009, n. 10 ad art. 429 CPP). b) En l’espèce, le mandat d’amener constitue effectivement une mesure de contrainte susceptible d’appeler réparation; le caractère illicite de celui qui a été décerné le 21 novembre 2012 a été constaté par la Chambre des recours pénale dans son arrêt du 14 décembre 2012. Il est indéniable que cette mesure a occasionné chez le recourant certains désagréments. Ceux-ci, malgré la charge psychique qu’ils peuvent</w:t>
      </w:r>
    </w:p>
    <w:p>
      <w:r>
        <w:t>- 7 - comporter, sont toutefois inhérents à toute poursuite pénale (Pitteloud, Code de procédure pénale suisse, Commentaire à l'usage des praticiens, Zurich/St-Gall 2012, n. 1355 ad art. 429 ss et les références citées ; CREP 14 août 2013/661 c. 5b ; CREP 29 avril 2013/287 c. 3c ; CREP Juge unique 26 décembre 2012/289). Il n’est pas démontré ni rendu hautement vraisemblable que l’atteinte à la personnalité ait atteint chez le recourant un degré suffisant pour justifier une indemnisation du tort moral. Le recourant n’invoque d’ailleurs aucune circonstance particulière qui établirait une atteinte particulièrement grave à sa personnalité. Compte tenu de ce qui précède, c’est à bon droit que le procureur a refusé de lui allouer une indemnité du chef de l’art. 431 al. 1 CPP.</w:t>
      </w:r>
    </w:p>
    <w:p>
      <w:r>
        <w:rPr>
          <w:b/>
        </w:rPr>
        <w:t>E. 5</w:t>
      </w:r>
    </w:p>
    <w:p>
      <w:r>
        <w:t>S’agissant des frais de procédure, le recourant soutient qu’ils auraient du être laissés intégralement à la charge de l’Etat, au lieu de suivre le sort de la cause au fond. S’agissant d’un classement partiel, il était adéquat, et non seulement possible, de renvoyer à la décision finale (cf. art. 421 al. 1 et al. 2 let. b CPP). Au demeurant, le recourant n’a aucun intérêt juridiquement protégé, au sens de l’art. 382 al. 1 CPP, à remettre en cause la décision quant aux frais, dès lors que l’ordonnance de classement ne les met pas à sa charge. Il lui est loisible de faire valoir ses droits, en ce qui concerne la répartition des frais, notamment sur le point de savoir si ceux-ci doivent être réduits en raison d’un classement partiel, dans le cadre de son opposition à l’ordonnance pénale qui a, elle réglé le sort des frais. Sur ce point, le recours est donc irrecevable.</w:t>
      </w:r>
    </w:p>
    <w:p>
      <w:r>
        <w:rPr>
          <w:b/>
        </w:rPr>
        <w:t>E. 6</w:t>
      </w:r>
    </w:p>
    <w:p>
      <w:r>
        <w:t>Il résulte de ce qui précède que le recours, manifestement mal fondé, doit être rejeté, dans la mesure où il est recevable, sans autres échanges d’écritures (art. 390 al. 2 CPP) et l’ordonnance attaquée confirmée. Les frais de la procédure de recours, constitués du seul émolument d’arrêt (art. 422 al. 1 CPP), par 770 fr. (art. 20 al. 1 TFIP [tarif</w:t>
      </w:r>
    </w:p>
    <w:p>
      <w:r>
        <w:t>- 8 -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est recevable. II. L’ordonnance de classement du 11 mars 2014 est confirmée. III. Les frais d’arrêt, par 770 fr. (sept cent septante francs), sont mis à la charge de Q.________. IV. Le présent arrêt est exécutoire. Le président : Le greffier : Du L'arrêt qui précède, dont la rédaction a été approuvée à huis clos, est notifié, par l'envoi d'une copie complète, à : - Mme Aline Bonard, avocate (pour Q.________), - Ministère public central, et communiqué à : - M. le Procureur de l’arrondissement du Nord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