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PE12.021976 vom 25. Februar 2013</w:t>
      </w:r>
    </w:p>
    <w:p>
      <w:r>
        <w:t>VD Tribunal cantonal, 2013-02-25, FR</w:t>
      </w:r>
    </w:p>
    <w:p>
      <w:r>
        <w:rPr>
          <w:b/>
        </w:rPr>
        <w:t xml:space="preserve">Quelle: </w:t>
      </w:r>
      <w:r>
        <w:t>https://mcp.opencaselaw.ch/entscheid/vd_gerichte_PE12.021976</w:t>
      </w:r>
    </w:p>
    <w:p>
      <w:r>
        <w:t>FR: VD_GERICHTE PE12.021976 du 25 février 2013</w:t>
      </w:r>
    </w:p>
    <w:p>
      <w:r>
        <w:t>IT: VD_GERICHTE PE12.021976 del 25 febbraio 2013</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w:t>
      </w:r>
    </w:p>
    <w:p>
      <w:r>
        <w:t>- 3 - qu’une instruction soit ouverte (art. 309 al. 1 et 4 CPP; TF 1B_111/2012 du</w:t>
      </w:r>
    </w:p>
    <w:p>
      <w:r>
        <w:rPr>
          <w:b/>
        </w:rPr>
        <w:t>E. 5</w:t>
      </w:r>
    </w:p>
    <w:p>
      <w:r>
        <w:t>En définitive, le recours de Z.________, manifestement mal fondé, doit être rejeté et la décision du Procureur de l'arrondissement de l'Est Vaudois confirmée.</w:t>
      </w:r>
    </w:p>
    <w:p>
      <w:r>
        <w:t>- 7 - Les frais de la procédure de recours, par 660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10 janvier 2013. III. Dit que les frais de la procédure de recours, par 660 francs, sont mis à la charge du recourant Z.________. IV. Déclare le présent arrêt exécutoire. Le vice-président : La greffière : Du L'arrêt qui précède,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- 8 - 2005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