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PE12.021645 vom 28. Dezember 2012</w:t>
      </w:r>
    </w:p>
    <w:p>
      <w:r>
        <w:t>VD Tribunal cantonal, 2012-12-28, FR</w:t>
      </w:r>
    </w:p>
    <w:p>
      <w:r>
        <w:rPr>
          <w:b/>
        </w:rPr>
        <w:t xml:space="preserve">Quelle: </w:t>
      </w:r>
      <w:r>
        <w:t>https://mcp.opencaselaw.ch/entscheid/vd_gerichte_PE12.021645</w:t>
      </w:r>
    </w:p>
    <w:p>
      <w:r>
        <w:t>FR: VD_GERICHTE PE12.021645 du 28 décembre 2012</w:t>
      </w:r>
    </w:p>
    <w:p>
      <w:r>
        <w:t>IT: VD_GERICHTE PE12.021645 del 28 dicembre 2012</w:t>
      </w:r>
    </w:p>
    <w:p>
      <w:pPr>
        <w:pStyle w:val="Heading2"/>
      </w:pPr>
      <w:r>
        <w:t>Volltext</w:t>
      </w:r>
    </w:p>
    <w:p>
      <w:r>
        <w:t>TRIBUNAL CANTONAL 183 PE12.021645-GRV CHAMBRE DE S RECO URS PEN ALE __________________________________________ Séance du 10 avril 2013 __________________ Présidence de M. SAUTEREL, juge présidant Juges : M. Meylan et Mme Dessaux Greffière : Mme Molango ***** Art. 221, 222, 227, 393 al. 1 let. c CPP Vu l'enquête n° PE12.021645-XMA instruite par le Ministère public de l'arrondissement de Lausanne contre A.D.________ pour tentative de meurtre, subsidiairement lésions corporelles simples qualifiées, mise en danger de la vie d'autrui et dommages à la propriété, d'office et sur plainte de B.D.________, vu l'appréhension d'A.D.________ le 27 décembre 2012, vu l'ordonnance du 28 décembre 2012, par laquelle le Tribunal des mesures de contrainte a ordonné la détention provisoire du prévenu pour une durée maximale de trois mois, soit au plus tard jusqu’au 27 mars 2013, 351</w:t>
      </w:r>
    </w:p>
    <w:p>
      <w:r>
        <w:t>- 2 - vu la demande du Ministère public de l'arrondissement de Lausanne du 18 mars 2013 tendant à la prolongation de la détention provisoire d'A.D.________ pour une durée de trois mois, vu l'ordonnance du 25 mars 2013, par laquelle le Tribunal des mesures de contrainte a ordonné la prolongation de la détention provisoire d'A.D.________ (I), a fixé la durée maximale de la prolongation à trois mois, soit au plus tard jusqu'au 27 juin 2013 (II), et a dit que les frais de cette décision, par 150 fr., suivaient le sort de la cause (III), vu le recours interjeté le 4 avril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en l'espèce, que le recourant fait valoir des carences de l'instruction diligentée par la Procureure qui violeraient ses droits ainsi que les principes de proportionnalité, de célérité et de procès équitable, qu'à cet égard, il convient de rappeler que le Chambre des recours pénale n'est pas une autorité de surveillance du Ministère public, mais une autorité appelée à statuer sur les recours interjetés contre des décisions déterminées, que partant, la cour de céans doit uniquement examiner si la prolongation de la détention provisoire du recourant a été ordonnée en conformité avec l'art. 221 CPP;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w:t>
      </w:r>
    </w:p>
    <w:p>
      <w:r>
        <w:t>- 3 - preuves, ou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A.D.________ est mis en cause pour avoir planté une barre de fer dans l'abdomen de B.D.________, également membre de la communauté Rom, lui occasionnant deux perforations grêles ainsi qu'une péritonite localisée ensuite de ces lésions, que le recourant a admis avoir blessé B.D.________ au moyen de cet instrument, que, selon ses dires, il s'agirait toutefois d'un événement accidentel, qu'il a en effet expliqué avoir voulu bloquer le volant de la voiture conduite par B.D.________ au moyen de ladite barre, car celui-ci voulait attaquer sa famille, qu'en tournant le volant, la barre se serait accidentellement fichée dans le ventre de ce dernier (PV aud. 4, li. 100 ss),</w:t>
      </w:r>
    </w:p>
    <w:p>
      <w:r>
        <w:t>- 4 - qu'il ressort des divers témoignages recueillis que le geste du recourant était plutôt intentionnel (PV aud. 6, p. 3; PV aud. 7, p. 3; PV aud. 8, p. 4), que toutefois, le déroulement de la bagarre n'est pas limpide, qu'en particulier les déclarations sont contradictoires entre elles et ne corroborent pas celles du recourant, que, selon le rapport médical du 7 décembre 2012 établi par le Centre universitaire romand de médecine légale, les lésions présentées par la victime pourraient être compatibles avec sa version des faits (P. 16, p. 6), que les blessures sont graves, que le 11 mars 2013, le Procureur a ordonnée la mise en œuvre d'une expertise en vue d'établir si les lésions constatées par les médecins légistes étaient compatibles avec les déclarations du prévenu, qu'au vu de l'ensemble des éléments figurant au dossier, il existe à l'égard d'A.D.________ de graves soupçons de culpabilité d’avoir commis les infractions reprochées, du moins des lésions corporelles qualifiées; attendu que l'ordonnance entreprise se fonde sur le risque de fuite (art. 221 al. 1 let. a CPP), que, s'agissant de ce risque,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né en 1991, ressortissant roumain et membre de la communauté Rom, n'a pas de domicile fixe,</w:t>
      </w:r>
    </w:p>
    <w:p>
      <w:r>
        <w:t>- 5 - qu'il n'a pas d'emploi et a déclaré vouloir trouver du travail en France afin d'y résider un certain temps (PV aud. 4, li. 107), qu’il n’a par conséquent aucune attache avec la Suisse, que, de surcroît, après les faits, le prévenu a immédiatement pris la fuite et s'est rendu avec sa famille en France voisine, qu'il a fait l'objet d'une décision d'extradition (P. 20/3) et a été remis aux autorités suisses le 27 décembre 2012 (P. 17), que dans ces circonstances, et compte tenu de la gravité des faits reprochés et de la peine encourue, il y a sérieusement lieu de craindre que le recourant ne tente de se soustraire aux poursuites engagées contre lui, qu'en conséquence, le risque de fuite est patent, que dans la mesure où les conditions du maintien en détention sont réalisées pour le risque de fuite, il n'y a pas lieu d'examiner le risque de passage à l'acte (art. 221 al. 2 CPP), qu'au surplus, le risque retenu ne peut être écarté par aucune mesure de substitution (art. 237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ATF 133 I 168 c. 4.1; ATF 132 I 21 c. 4.1), qu’en l’espèce, A.D.________ est placé en détention provisoire depuis le 27 décembre 2012, soit il y un peu plus de 3 mois, que compte tenu de la gravité des actes qui lui sont reprochés et de la durée de la peine à laquelle il s'expose concrètement en cas de condamnation, la détention du recourant apparaît proportionnée; attendu, en définitive, que le recours, manifestement mal fondé, doit être rejeté et l'ordonnance confirmée, que les frais de la procédure de recours, constitués en l'espèce de l'émolument d'arrêt, par 660 fr. (art. 20 al. 1 TFJP [tarif des frais judiciaires pénaux du 28 septembre 2010; RSV 312.03.1]), et des frais</w:t>
      </w:r>
    </w:p>
    <w:p>
      <w:r>
        <w:t>- 6 - imputables à la défense d'office (art. 422 al. 1 et 2 let. a CPP), fixés à 360 fr., plus la TVA, par 28 fr. 80, soit un total de 388 fr. 80, seront mis à la charge du recourant, qui succombe (art. 428 al. 1 CPP), que le remboursement à l'Etat de l'indemnité allouée au défenseur d'office d'A.D.________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comprise, l'indemnité allouée au défenseur d'office d'A.D.________. IV. Dit que les frais d'arrêt, par 660 fr. (six cent soixante francs), ainsi que l'indemnité due au défenseur d'office d'A.D.________, 388 fr. 80 (trois cent huitante-huit francs et huitante centimes), sont mis à la charge de ce dernier. V. Dit que le remboursement à l'Etat de l'indemnité allouée au chiffre III ci-dessus sera exigible pour autant que la situation économique d'A.D.________ se soit améliorée. VI. Déclare le présent arrêt exécutoire. Le juge présidant : La greffière :</w:t>
      </w:r>
    </w:p>
    <w:p>
      <w:r>
        <w:t>- 7 - Du L'arrêt qui précède, dont la rédaction a été approuvée à huis clos, est notifié, par l'envoi d'une copie complète, à : - Me Nader Ghosn, avocat (pour A.D.________),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