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PE12.021494 vom 4. Dezember 2013</w:t>
      </w:r>
    </w:p>
    <w:p>
      <w:r>
        <w:t>VD Tribunal cantonal, 2013-12-04, FR</w:t>
      </w:r>
    </w:p>
    <w:p>
      <w:r>
        <w:rPr>
          <w:b/>
        </w:rPr>
        <w:t xml:space="preserve">Quelle: </w:t>
      </w:r>
      <w:r>
        <w:t>https://mcp.opencaselaw.ch/entscheid/vd_gerichte_PE12.021494</w:t>
      </w:r>
    </w:p>
    <w:p>
      <w:r>
        <w:t>FR: VD_GERICHTE PE12.021494 du 4 décembre 2013</w:t>
      </w:r>
    </w:p>
    <w:p>
      <w:r>
        <w:t>IT: VD_GERICHTE PE12.021494 del 4 dicembre 2013</w:t>
      </w:r>
    </w:p>
    <w:p>
      <w:pPr>
        <w:pStyle w:val="Heading2"/>
      </w:pPr>
      <w:r>
        <w:t>Erwägungen</w:t>
      </w:r>
    </w:p>
    <w:p>
      <w:r>
        <w:rPr>
          <w:b/>
        </w:rPr>
        <w:t>E. 4</w:t>
      </w:r>
    </w:p>
    <w:p>
      <w:r>
        <w:t>a) Selon l’art. 251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Pour ce qui est de l’aspect subjectif, le faux dans les titres est une infraction intentionnelle, le dol éventuel étant suffisant. L'art. 251 CP exige de surcroît un dessein spécial, qui peut se présenter sous deux formes alternatives, soit le dessein de nuire ou le dessein d'obtenir un avantage illicite (Corboz, Les infractions en droit suisse, 3e éd, Berne 2010, vol. II, n. 171 ss ad art. 251 CP). S'agissant des éléments objectifs de l'infraction, sont notamment des titres tous les écrits destinés et propres à prouver un fait ayant une portée juridique (cf. art. 110 ch. 4 CP). b) En l’espèce, à l’instar du procureur général, on peut laisser ouverte la question de savoir si les courriers incriminés bénéficient de la force publique accrue indispensable pour constituer un titre au sens de l’art. 251 CP. On ne saurait en effet reprocher au prévenu un dessein de porter atteinte aux intérêts ou aux droits d’autrui ni celui d’obtenir un avantage illicite. Il est en effet établi que W.________, même lorsqu’elle agissait seule, pouvait obtenir l’effet suspensif « super provisoire » (cf. P. 17/17 et 22/4). S’il est vrai que sur le fond, la qualité de partie lui était ensuite refusée par la Cour de droit public du Tribunal cantonal du Valais et sa demande d’effet suspensif était classée, le prévenu a pu établir qu’il lui était possible d’obtenir, toujours en agissant au nom de W.________ uniquement, l’effet suspensif devant le Tribunal fédéral (cf. P. 17/16). Ce dernier a d’ailleurs fini par reconnaître la qualité de partie à W.________</w:t>
      </w:r>
    </w:p>
    <w:p>
      <w:r>
        <w:t>- 12 - (ATF 139 II 271). Ainsi, l’argumentation de la recourante consistant à soutenir que les constructions ne pouvaient être suspendues que si un voisin agissait et que, partant, le prévenu avait agi en se prétendant mandaté par des personnes privées dans le dessein d’obtenir un avantage illicite, respectivement dans le dessein de nuire, tombe à faux. Par conséquent, il n’y a pas lieu de retenir l’infraction de faux dans les titres à l’encontre de G.________. Le recours doit donc également être rejeté sur ce point.</w:t>
      </w:r>
    </w:p>
    <w:p>
      <w:r>
        <w:rPr>
          <w:b/>
        </w:rPr>
        <w:t>E. 5</w:t>
      </w:r>
    </w:p>
    <w:p>
      <w:r>
        <w:t>Au vu de l'ensemble des considérations qui précèdent, aucune infraction ne peut être retenue à l’encontre de G.________. Par ailleurs, les mesures d’instruction requises par la recourante, à savoir la production de l’intégralité du dossier de la Chambre de surveillance du Valais, la production du rapport établi par le Conseil d’Etat valaisan à l’intention du Grand Conseil, ainsi que l’audition des autres personnes au nom de qui le prévenu aurait agi sans avoir été mandaté, ne permettraient pas d'aboutir à une appréciation différente des faits. A cet égard, la Cour de céans fait siens les motifs pertinents développés par le Ministère public et mentionnés ci-dessus dans la partie « En fait » sous lettre B. Ces mesures apparaissent en effet d’emblée impropres à établir d’éventuelles manœuvres frauduleuses du prévenu au détriment de la recourante. C'est donc à juste titre que le procureur a classé la procédure en faveur du prénommé. Le recours formé par L.________SA doit donc être rejeté dans son entier. III. Recours de G.________ 1. a) Interjeté dans le délai légal (art. 322 al. 2 CPP [Code de procédure pénale suisse du 5 octobre 2007; RS 312.0]), contre une ordonnance du Ministère public (art. 393 al. 1 let. a CPP), par le prévenu qui a qualité pour recourir (art. 382 al. 1 CPP) et dans les formes prescrites (art. 385 al. 1 CPP), le recours est recevable.</w:t>
      </w:r>
    </w:p>
    <w:p>
      <w:r>
        <w:t>- 13 -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ne conteste pas le classement en lui-même, mais uniquement la mise à sa charge des frais de procédure, par 1'275 fr., ainsi que le refus de toute indemnité dont il réclame le paiement à hauteur de 5'610 fr., TVA et débours compris. La valeur litigieuse place donc le recours dans la compétence de la Chambre des recours pénale en corps (art. 395 let. b CPP, a contrario). 2. a) L’art.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w:t>
      </w:r>
    </w:p>
    <w:p>
      <w:r>
        <w:t>- 14 -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b) Aux termes de l’art. 12 let. a LLCA, l’avocat exerce sa profession avec soin et diligence. Cette formule très large constitue une clause générale qui demande à être interprétée et qui permet de la sorte aux tribunaux de dessiner les devoirs professionnels de l’avocat d’une façon assez libre et étendue, l’énumération exhaustive des devoirs professionnels dans la loi étant impossible (Chappuis, La profession d’avocat, Tome I, Le cadre légal et les principes essentiels, 2013, p. 32 et les références citées). En bref, cette disposition permet d’exiger de l’avocat qu’il se comporte correctement dans l’exercice de sa profession. Elle sanctionne les comportements de l’avocat qui remet en cause la bonne administration de la justice ainsi que la confiance en sa personne et en la profession d’avocat en général (Bohnet/Martenet, Droit de la profession d'avocat, Berne 2009, nn. 1161 et 1165, pp. 501 s.). La doctrine retient notamment que l’avocat doit organiser son travail de telle manière qu’il puisse exercer sa profession avec soin et diligence (Bohnet/Martenet, op. et loc. cit., n. 1169, p. 503). L’avocat doit s’abstenir de toute démarche susceptible de tromper la confiance placée en la profession et en</w:t>
      </w:r>
    </w:p>
    <w:p>
      <w:r>
        <w:t>- 15 - l’administration de la justice (dans ce sens: Bohnet/Martenet, op. et loc. cit., nn. 1233 ss, p. 524). c) En l’espèce, la question de savoir si, comme le retient le procureur général, le recourant a violé une norme de comportement peut rester indécise. En effet, la cour de céans considère que le comportement litigieux du recourant n’est pas en relation de causalité avec les frais d’enquête qui ont été mis à sa charge. Le simple fait d’agir devant une autorité administrative, dans le contexte très particulier d’une requête tendant à l’octroi d’un effet suspensif « super provisoire », au nom de personnes qui n’avaient pas consulté le recourant, n’est pas en soi, de nature à provoquer l’ouverture d’une procédure pénale, d’autant plus que l’intéressé, interpellé à ce sujet par le Service des affaires intérieures et communales du canton du Valais, a immédiatement reconnu que c’était par erreur qu’il avait indiqué agir également pour des recourants privés. Au vu de ce qui précède, les frais d’enquête ne pouvaient être mis à la charge du recourant, mais devaient être laissés à la charge de l’Etat. Le recours doit donc être admis sur ce point. 3. a) Il reste à examiner si le recourant peut prétendre à une quelconque indemnité. b) Aux termes de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En l’espèce, une telle indemnité doit toutefois être exclue. En effet, par avis de prochaine clôture du 18 mars 2013, le procureur général</w:t>
      </w:r>
    </w:p>
    <w:p>
      <w:r>
        <w:t>- 16 - a informé le recourant qu’il entendait rendre une ordonnance de classement. Il a imparti à l’intéressé un délai au 10 avril 2013 – délai qui a été prolongé jusqu’au 30 avril 2013 – pour formuler ses éventuelles réquisitions de preuves et les éléments nécessaires à l’éventuelle application de l’art. 429 CPP. On relèvera que les art. 429 à 432 CPP étaient énoncés dans l’avis précité. Par courrier adressé le 5 juin 2013 au Ministère public, le recourant a requis qu’une indemnité de 5'610 fr., fondée sur l’art. 432 al. 1 CPP, soit mise à la charge de la partie plaignante. Ainsi, dans la mesure où le recourant a exclusivement fait valoir une indemnité au sens de l’art. 432 CPP, sans prendre de conclusion subsidiaire tendant à l’allocation d’une indemnité au sens de l’art. 429 CPP, malgré l’invitation faite sur ce point par le procureur général dans son avis de prochaine clôture, il y a lieu de considérer que le recourant a implicitement renoncé au versement d’une indemnité à charge de l’Etat fondée sur l’art. 429 CPP (cf. TF 6B_472/2012 du 13 novembre 2012 c. 2.4). En conséquence, l’intéressé ne peut plus, au stade du recours, solliciter une indemnité au sens de l’art. 429 CPP et cela quand bien même d’ordinaire, soit en l’absence de renonciation, lorsque les frais de procédure sont laissés à la charge de l’Etat, le prévenu aurait droit à une indemnité (cf. ATF 137 IV 352). c) Il reste encore à déterminer si le recourant peut prétendre à une indemnité basée sur l’art. 432 CPP. Aux termes de l'art. 432 al. 1 CPP, le prévenu qui obtient gain de cause peut demander à la personne plaignante une juste indemnité pour les dépenses occasionnées par les conclusions civiles. Le prévenu doit véritablement obtenir gain de cause sur les conclusions civiles. L’indemnisation due par le plaignant demandeur au civil ne concerne que les démarches rendues nécessaires par le jugement des conclusions civiles. Il ne s’agit donc pas de lui faire supporter les conséquences de l’ensemble de la procédure pénale dont la plupart des actes sont</w:t>
      </w:r>
    </w:p>
    <w:p>
      <w:r>
        <w:t>- 17 - imputables seulement aux autorités. La distinction entre le dommage indemnisé par le plaignant demandeur au civil et le dommage indemnisé par l’Etat n’ait pas aisée. En effet, l’instruction pénale forme fréquemment un tout. Afin de ne pas inutilement décourager le plaignant de faire valoir ses prétentions civiles dans le procès pénal, auquel cas il y renoncerait trop facilement, il ne lui sera imputé que le dommage causé par les actes de procédure qui concernaient uniquement ses conclusions civiles (Mizel/Rétornaz, in : Kuhn/Jeanneret [éd.], op. cit., nn. 3 et 4 ad art. 432 CPP, p. 1882, et les réf. cit.). 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En l'espèce, il convient d’abord de relever que l’enquête qui a abouti au classement de la procédure en faveur du recourant était ouverte pour escroquerie (art. 146 CP) et faux dans les titres (art. 251 CP), infractions se poursuivant d'office, de sorte que l’art. 432 al. 2 CPP ne trouve pas application dans le cas particulier, seul l'art. 432 al. 1 CPP pouvant entrer en ligne de compte. Cela étant, dans la mesure où les conclusions civiles annoncées par la partie plaignante n’ont absolument pas été instruites et n’ont donc généré aucun acte de procédure particulier, il n’est pas possible de mettre une indemnité à la charge de la partie plaignante en application de l’art. 432 al. 1 CPP. d) Il s’ensuit que les conditions d’une indemnisation du prévenu tant par l’Etat selon l’art. 429 CPP que par la partie plaignante selon l’art. 432 CPP ne sont pas réalisées. Le recours doit donc être rejeté sur ce point. 4. Au vu des considérations qui précèdent, le recours de G.________ doit être admis en tant qu’il porte sur la mise à la charge de</w:t>
      </w:r>
    </w:p>
    <w:p>
      <w:r>
        <w:t>- 18 - l’Etat des frais de première instance et doit être rejeté en tant qu’il porte sur l’allocation en sa faveur d’une indemnité de 5'610 fr., TVA et débours compris. IV. Conclusions Le recours formé par L.________SA doit être rejeté et celui formé par G.________ doit être partiellement admis. Le chiffre V du dispositif de l’ordonnance attaquée doit être réformé en ce sens que les frais, par 1'275 fr., sont laissés à la charge de l’Etat. L’ordonnance doit être confirmée pour le surplus. Les frais de la procédure de recours, constitués en l’espèce de l’émolument d’arrêt (art. 422 al. 1 CPP), par 1'870 fr. (art. 20 al. 1 TFJP [Tarif des frais judiciaires pénaux; RSV 312.03.1]), seront mis par moitié à la charge de L.________SA, qui succombe, par un quart à la charge de G.________, qui succombe en partie, le solde étant laissé à la charge de l’Etat (art. 423 et 428 al. 1 CPP). Enfin, G.________, qui a partiellement obtenu gain de cause et qui a procédé avec l'assistance d'un conseil professionnel, a droit à une juste indemnité pour ses dépenses (art. 436 al. 2 CPP). Comme il se justifiait de mettre les frais d’arrêt à la charge du prénommé à raison de la moitié, on réduira également de moitié l’indemnité qui doit lui être allouée. Au vu du mémoire produit, cette indemnité peut être fixée à 495 fr. (3 heures au tarif horaire de 330 fr., divisé par deux), plus la TVA par 39 fr. 60, soit un total de 534 fr. 60, pouvant être arrondi au montant de 535 francs.</w:t>
      </w:r>
    </w:p>
    <w:p>
      <w:r>
        <w:t>- 19 - Par ces motifs, la Chambre des recours pénale, statuant à huis clos, prononce : I. Le recours de L.________SA est rejeté. II. Le recours de G.________ est partiellement admis. III. Le chiffre V du dispositif de l’ordonnance du 24 juillet 2013 est réformé en ce sens que les frais, par 1’275 fr., sont laissés à la charge de l’Etat. IV. L’ordonnance du 24 juillet 2013 est confirmée pour le surplus. V. Les frais d'arrêt, par 1'870 fr. (mille huit cent septante francs), sont mis par moitié, soit par 935 fr. (neuf cent trente-cinq francs), à la charge de L.________SA, par un quart, soit par 467 fr. 50 (quatre cent soixante-sept francs et cinquante centimes), à la charge de G.________, le solde étant laissé à la charge de l'Etat. VI. Un montant de 535 fr. (cinq cent trente-cinq francs) est alloué à G.________ à titre d'indemnité au sens de l'art. 436 al. 2 CPP, pour la procédure de recours, à la charge de l'Etat. VII. Le présent arrêt est exécutoire. Le président : La greffière : Du L'arrêt qui précède, dont la rédaction a été approuvée à huis clos, est notifié, par l'envoi d'une copie complète, à : - M. Yannis Sakkas, avocat (pour L.________SA), - M. Christian Bettex, avocat (pour G.________), - M. le Procureur général du canton de Vaud;</w:t>
      </w:r>
    </w:p>
    <w:p>
      <w:r>
        <w:t>- 20 - et communiqué à : - Chambre des avocats du Tribunal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