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PE12.021265 vom 29. Mai 2013</w:t>
      </w:r>
    </w:p>
    <w:p>
      <w:r>
        <w:t>VD Tribunal cantonal, 2013-05-29, FR</w:t>
      </w:r>
    </w:p>
    <w:p>
      <w:r>
        <w:rPr>
          <w:b/>
        </w:rPr>
        <w:t xml:space="preserve">Quelle: </w:t>
      </w:r>
      <w:r>
        <w:t>https://mcp.opencaselaw.ch/entscheid/vd_gerichte_PE12.021265</w:t>
      </w:r>
    </w:p>
    <w:p>
      <w:r>
        <w:t>FR: VD_GERICHTE PE12.021265 du 29 mai 2013</w:t>
      </w:r>
    </w:p>
    <w:p>
      <w:r>
        <w:t>IT: VD_GERICHTE PE12.021265 del 29 maggio 2013</w:t>
      </w:r>
    </w:p>
    <w:p>
      <w:pPr>
        <w:pStyle w:val="Heading2"/>
      </w:pPr>
      <w:r>
        <w:t>Erwägungen</w:t>
      </w:r>
    </w:p>
    <w:p>
      <w:r>
        <w:rPr>
          <w:b/>
        </w:rPr>
        <w:t>E. 4</w:t>
      </w:r>
    </w:p>
    <w:p>
      <w:r>
        <w:t>L’intimé doit par conséquent être condamné pour violation simple des règles de la circulation routière, pour la violation des art. 32 al. 1 et 34 al. 1 LCR. Il convient de lui infliger une amende conformément à l'art. 90 ch. 1 LCR.</w:t>
      </w:r>
    </w:p>
    <w:p>
      <w:r>
        <w:rPr>
          <w:b/>
        </w:rPr>
        <w:t>E. 4.1</w:t>
      </w:r>
    </w:p>
    <w:p>
      <w:r>
        <w:t>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ATF 129 IV 6 c. 6.1). Selon l'art. 106 CP, sauf disposition contraire de la loi, le montant maximum de l'amende est de 10'000 fr.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w:t>
      </w:r>
    </w:p>
    <w:p>
      <w:r>
        <w:rPr>
          <w:b/>
        </w:rPr>
        <w:t>E. 4.2</w:t>
      </w:r>
    </w:p>
    <w:p>
      <w:r>
        <w:t>En l’occurrence, s’agissant du montant de l’amende, il faut s’en tenir à celui figurant dans l’ordonnance préfectorale rendue le 22 août 2012, qui retenait une pluralité de contraventions, soit 250 francs. La peine privative de liberté de substitution peut être fixée à 5 jours.</w:t>
      </w:r>
    </w:p>
    <w:p>
      <w:r>
        <w:t>- 11 -</w:t>
      </w:r>
    </w:p>
    <w:p>
      <w:r>
        <w:rPr>
          <w:b/>
        </w:rPr>
        <w:t>E. 5</w:t>
      </w:r>
    </w:p>
    <w:p>
      <w:r>
        <w:t>En définitive, l’appel du Ministère public central doit être admis et le jugement attaqué modifié en ce sens que P.________ doit être reconnu coupable de violation simple des règles de la circulation. L’admission de l’appel du Ministère public central entraîne la suppression de l’indemnité fondée sur l’art. 429 CPP et rend l’appel joint de l’intimé sans objet. Vu l’issue de la cause, les frais de la procédure de première instance et les frais d’appel doivent être mis à la charge de P.________ (art. 426 al. 1 et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