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PE12.020137 vom 23. Oktober 2012</w:t>
      </w:r>
    </w:p>
    <w:p>
      <w:r>
        <w:t>VD Tribunal cantonal, 2012-10-23, FR</w:t>
      </w:r>
    </w:p>
    <w:p>
      <w:r>
        <w:rPr>
          <w:b/>
        </w:rPr>
        <w:t xml:space="preserve">Quelle: </w:t>
      </w:r>
      <w:r>
        <w:t>https://mcp.opencaselaw.ch/entscheid/vd_gerichte_PE12.020137</w:t>
      </w:r>
    </w:p>
    <w:p>
      <w:r>
        <w:t>FR: VD_GERICHTE PE12.020137 du 23 octobre 2012</w:t>
      </w:r>
    </w:p>
    <w:p>
      <w:r>
        <w:t>IT: VD_GERICHTE PE12.020137 del 23 ottobre 2012</w:t>
      </w:r>
    </w:p>
    <w:p>
      <w:pPr>
        <w:pStyle w:val="Heading2"/>
      </w:pPr>
      <w:r>
        <w:t>Erwägungen</w:t>
      </w:r>
    </w:p>
    <w:p>
      <w:r>
        <w:rPr>
          <w:b/>
        </w:rPr>
        <w:t>E. 2</w:t>
      </w:r>
    </w:p>
    <w:p>
      <w:r>
        <w:t>Il résulte de ce qui précède que le dossier de la cause doit être renvoyé au Tribunal des mesures de contrainte pour qu'il procède dans le sens des considérants. Les frais du présent arrêt, par 440 fr., seront laissés à la charge de l'Etat. Par ces motifs, la Chambre des recours pénale, statuant à huis clos, prononce : I. Le dossier de la cause est renvoyé au Tribunal des mesures de contrainte pour qu'il procède dans le sens des considérants. II. Les frais d'arrêt, par 440 fr. (quatre cent quarante francs), sont laissés à la charge de l'Etat. III. Le présent arrêt est exécutoire. Le vice-président : La greffière :</w:t>
      </w:r>
    </w:p>
    <w:p>
      <w:r>
        <w:t>- 5 - Du L'arrêt qui précède, dont la rédaction a été approuvée à huis clos, est notifié, par l'envoi d'une copie complète, à : - M. Pierre-Alain Killias, avocat (pour N.________),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