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PE12.019891 vom 26. Juli 2013</w:t>
      </w:r>
    </w:p>
    <w:p>
      <w:r>
        <w:t>VD Tribunal cantonal, 2013-07-26, FR</w:t>
      </w:r>
    </w:p>
    <w:p>
      <w:r>
        <w:rPr>
          <w:b/>
        </w:rPr>
        <w:t xml:space="preserve">Quelle: </w:t>
      </w:r>
      <w:r>
        <w:t>https://mcp.opencaselaw.ch/entscheid/vd_gerichte_PE12.019891</w:t>
      </w:r>
    </w:p>
    <w:p>
      <w:r>
        <w:t>FR: VD_GERICHTE PE12.019891 du 26 juillet 2013</w:t>
      </w:r>
    </w:p>
    <w:p>
      <w:r>
        <w:t>IT: VD_GERICHTE PE12.019891 del 26 luglio 2013</w:t>
      </w:r>
    </w:p>
    <w:p>
      <w:pPr>
        <w:pStyle w:val="Heading2"/>
      </w:pPr>
      <w:r>
        <w:t>Erwägungen</w:t>
      </w:r>
    </w:p>
    <w:p>
      <w:r>
        <w:rPr>
          <w:b/>
        </w:rPr>
        <w:t>E. 1</w:t>
      </w:r>
    </w:p>
    <w:p>
      <w:r>
        <w:t>L’ordonnance attaquée, approuvée par le Procureur général le</w:t>
      </w:r>
    </w:p>
    <w:p>
      <w:r>
        <w:rPr>
          <w:b/>
        </w:rPr>
        <w:t>E. 3</w:t>
      </w:r>
    </w:p>
    <w:p>
      <w:r>
        <w:t>En vertu de l’art. 125 CP (Code pénal; RS 311.0), celui qui, par négligence, fait subir à une personne une atteinte à son intégrité corporelle ou à la santé se rend coupable de lésions corporelles par négligence. L'infraction est ainsi réalisée lorsque trois éléments sont réunis, à savoir une négligence commise par l'auteur, une lésion corporelle subie par la victime et un lien de causalité naturelle et adéquate entre la négligence et la lésion (TF 6B_639/2011 du 5 décembre 2011 c. 2.1). S'agissant plus particulièrement de la négligence, l'art. 12 al. 3 CP la définit comme une imprévoyance coupable dont fait preuve celui qui, ne se rendant pas compte des conséquences de son acte ou n'en tenant pas compte, agit sans user des précautions commandées par les circonstances et sa situation personnelle. Pour qu'il y ait lésions corporelles par négligence, il faut tout d'abord, d'une part, que l'auteur ait violé les règles de prudence que les circonstances lui imposaient pour ne pas excéder les limites du risque admissible et, d'autre part, qu'il n'ait pas déployé l'attention et les efforts que l'on pouvait attendre de lui pour se conformer à son devoir (ATF 122 IV 17 c. 2b). Pour déterminer plus précisément les devoirs imposés par la prudence, on peut se référer à des normes édictées par l'ordre juridique pour assurer la sécurité et éviter les accidents (TF 6B_543/2011 du 7 octobre 2011 c. 2.2). A défaut de dispositions légales ou réglementaires, on peut se référer à des règles analogues qui émanent d'associations privées ou semi-publiques lorsqu'elles sont généralement reconnues (ATF 134 IV 255 c. 4.2.3 p. 262; ATF 121 IV 207 c. 2a; ATF 118 IV 130 c. 3a; ATF 116 IV 189 c. 3b pp. 192 s.). A cet égard, s’agissant en particulier des accidents sur les pistes de ski, la jurisprudence confère une portée normative aux normes de sécurité</w:t>
      </w:r>
    </w:p>
    <w:p>
      <w:r>
        <w:t>- 6 - édictées par la Fédération Internationale de Ski (ATF 122 IV 17, précité, c. 2b p. 20, confirmant l’arrêt paru aux ATF 106 IV 350). 4, a) A l’appui de ses conclusions, le recourant soutient que l’appréciation de la Procureure comporterait des inexactitudes et des incohérences; il fait valoir que la responsabilité pénale de la prévenue devrait être tenue pour engagée, qu’il y ait eu choc entre les deux protagonistes ou pas. b)Après avoir repris dans son mémoire les éléments de fait mis en évidence par l’enquête, le recourant croit déceler des contradictions dans la version des faits présentée par la prévenue et retenue par la Procureure (recours, p. 7). Il soutient ainsi que la dynamique de l’accident qu’elle décrit ne serait pas compatible avec les lésions; que la prévenue se serait à l’évidence sentie impliquée par la chute puisqu’elle s’était arrêtée en contrebas; qu’elle avait accepté de donner ses coordonnées alors que – selon ses propres déclarations – le recourant la mettait fortement en cause; qu’elle n’était pas remontée vers lui, puisqu’elle avait donné son numéro de téléphone à [...] qui était descendue vers elle. Cette argumentation sollicite les faits. D’abord, les lésions sont parfaitement compatibles avec une chute à skis qui aurait même été le fait exclusif du plaignant; ensuite, si la prévenue s’est arrêtée en contrebas, c’est qu’elle a vu la chute, précisément pour avoir tourné la tête à gauche en apercevant le recourant, comme elle l’a expressément indiqué à la police (PV aud. 2, p. 2, R. 5); enfin, le fait qu’elle ait accepté de donner ses coordonnées ne témoigne nullement de sa mauvaise foi, mais le cas échéant bien plutôt de son sens civique. Cela étant, tout contact entre les deux protagonistes, même limité à leurs skis, est non seulement nié par la prévenue, mais également exclu par le mari de l’intéressée; certes, le témoin [...] a indiqué que la prévenue était passée sur les skis du plaignant, de surcroît à vitesse élevée. Pour ce qui est de la crédibilité des dépositions, la Procureure a</w:t>
      </w:r>
    </w:p>
    <w:p>
      <w:r>
        <w:t>- 7 - relevé que ce témoin était « l’amie intime » du plaignant, ce que ce dernier ne nie pas. Un témoignage ne saurait donc être réputé a priori plus crédible que l’autre au vu des relations personnelles entre témoins et parties. Pour le reste, aucun témoin n’atteste d’une interaction directe entre les deux protagonistes lors de la chute. Dans ces conditions, ainsi que l’a relevé la Procureure, il n’est pas possible d’établir les faits à satisfaction de droit. Au vrai, le recourant se limite à opposer sa version des faits à celle retenue par la magistrate, en ne se prévalant que de simples suppositions. c)Ce qui précède s’applique mutatis mutandis à la seconde hypothèse retenue par le recourant, à savoir celle d’une chute survenue sans contact, même limité aux skis des protagonistes, mais qui serait bien plutôt due à la proximité et à la vitesse excessives et fautives de la prévenue par rapport à lui lors du dépassement qu’il allègue. A cet égard, la règle n° IV de la Fédération internationale de ski, qui complète l’obligation générale de diligence consacrée par la règle n° I, a la teneur suivante : « Le dépassement peut s'effectuer, par amont ou par aval, par la droite ou par la gauche, mais toujours de manière assez large pour prévenir les évolutions du skieur et snowboarder dépassé » (cf. http://www.fis-ski.com/fr/fisinterne/ reglementsgeneralesfis/10reglesfis.html). Approuvées au congrès de la FIS de juillet 2002, ces normes sont applicables ratione temporis au présent cas. Or, aucun élément n’indique que la prévenue ait alors eu une vitesse excessive et le plaignant lui-même n’allègue du reste aucun changement de trajectoire au moment critique. A cet égard, le témoin [...] fournit un élément de fait déterminant en précisant que la fille du couple, alors âgée de cinq ans, pouvait suivre ses parents dans la descente (PV aud. 6, lignes 39-40). On conçoit mal que des parents un tant soit peu diligents descendent une piste à une vitesse qui condamnerait une jeune enfant à perdre le contact avec eux, avec les risques qui en découleraient pour la fillette. Cet élément de fait exclut toute vitesse excessive du groupe de skieurs auquel appartenait la prévenue. Pour ce qui est de la proximité du</w:t>
      </w:r>
    </w:p>
    <w:p>
      <w:r>
        <w:t>- 8 - plaignant par rapport à la prévenue lors du dépassement allégué, l’époux de celle-ci a indiqué qu’elle se trouvait à environ un mètre du plaignant lorsqu’elle avait dû s’arrêter pour l’éviter alors qu’il arrivait sur sa droite. Il ne s’agissait dès lors pas d’un dépassement, mais bien plutôt d’une manœuvre d’arrêt, précisément destinée à prévenir toute collision. On ne saurait donc retenir la violation d’une distance de sécurité à la charge de la prévenue. A contrario, l’hypothèse d’une chute du plaignant étrangère à toute influence d’un tiers est confortée par le fait qu’il était en déplacement alors que la prévenue se trouvait à l’arrêt. d)Dans ces conditions, un renvoi en jugement de la prévenue aboutirait très probablement à un acquittement, qui apparaît dans tous les cas sensiblement plus vraisemblable qu’une condamnation. Au surplus, aucune mesure d’instruction complémentaire ne permettrait d’aboutir à une autre appréciation, et le recourant n’en requiert du reste aucune.</w:t>
      </w:r>
    </w:p>
    <w:p>
      <w:r>
        <w:rPr>
          <w:b/>
        </w:rPr>
        <w:t>E. 5</w:t>
      </w:r>
    </w:p>
    <w:p>
      <w:r>
        <w:t>En définitive, le recours, manifestement mal fondé, doit être rejeté sans autres échanges d’écritures (art. 390 al. 2 CPP). Les frais de la procédure de recours, constitués en l’espèce du seul émolument d'arrêt, par 880 fr. (art. 20 al. 1 TFJP [tarif des frais judiciaires pénaux; RSV 312.03.1]), seront mis à la charge du recourant, qui succombe (art. 428 al. 1 CPP). Par ces motifs, la Chambre des recours pénale, statuant à huis clos, prononce : I. Le recours est rejeté. II. L’ordonnance du 26 juin 2013 est confirmée. III. Les frais d'arrêt, par 880 fr. (huit cent huitante francs), sont mis à la charge du recourant.</w:t>
      </w:r>
    </w:p>
    <w:p>
      <w:r>
        <w:t>- 9 - IV. L'arrêt est exécutoire. Le président : Le greffier : Du L'arrêt qui précède, dont la rédaction a été approuvée à huis clos, est notifié, par l'envoi d'une copie complète, à : - M. Loïc Parein, avocat (pour W.________), - Mme Marine Luy, avocate (pour G.________),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