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PE12.019664 vom 8. November 2012</w:t>
      </w:r>
    </w:p>
    <w:p>
      <w:r>
        <w:t>VD Tribunal cantonal, 2012-11-08, FR</w:t>
      </w:r>
    </w:p>
    <w:p>
      <w:r>
        <w:rPr>
          <w:b/>
        </w:rPr>
        <w:t xml:space="preserve">Quelle: </w:t>
      </w:r>
      <w:r>
        <w:t>https://mcp.opencaselaw.ch/entscheid/vd_gerichte_PE12.019664</w:t>
      </w:r>
    </w:p>
    <w:p>
      <w:r>
        <w:t>FR: VD_GERICHTE PE12.019664 du 8 novembre 2012</w:t>
      </w:r>
    </w:p>
    <w:p>
      <w:r>
        <w:t>IT: VD_GERICHTE PE12.019664 del 8 novembre 2012</w:t>
      </w:r>
    </w:p>
    <w:p>
      <w:pPr>
        <w:pStyle w:val="Heading2"/>
      </w:pPr>
      <w:r>
        <w:t>Erwägungen</w:t>
      </w:r>
    </w:p>
    <w:p>
      <w:r>
        <w:rPr>
          <w:b/>
        </w:rPr>
        <w:t>E. 1</w:t>
      </w:r>
    </w:p>
    <w:p>
      <w:r>
        <w:t>Une ordonnance de non-entrée en matière rendue par le Ministère public peut être attaquée par la voie du recours (art. 393 al. 1 let. a CPP [Code de procédure pénale suisse du 5 octobre 2007, RS 312.0]) auprès de la Chambre des recours pénale du Tribunal cantonal (art. 396 al. 1 CPP; art. 13 LVCPP [loi d’introduction du code de procédure pénale suisse; RSV 312.01]; art. 80 LOJV, [loi d’organisation judiciaire; RS173.01]), par la plaignante qui a qualité pour recourir (art. 382 al. 1 CPP).</w:t>
      </w:r>
    </w:p>
    <w:p>
      <w:r>
        <w:t>- 3 - Le recours doit être adressé par écrit, dans un délai de dix jours dès la notification de la décision attaquée (art. 322 al. 2 CPP par renvoi de l'art. 310 al. 2 et art. 396 al. 1 CPP). En l'espèce, le recours paraît tardif. Toutefois, sur la base du dossier, il n'est pas possible à l'autorité d'établir la date à laquelle la recourante a reçu l'ordonnance attaquée. Dans ces conditions, il y a lieu de considérer que le recours, qui a été déposé le 3 décembre 2012, l'a été en temps utile. Il convient dès lors d'entrer en matière sur le recours interjeté par P.________.</w:t>
      </w:r>
    </w:p>
    <w:p>
      <w:r>
        <w:rPr>
          <w:b/>
        </w:rPr>
        <w:t>E. 2</w:t>
      </w:r>
    </w:p>
    <w:p>
      <w:r>
        <w:t>Aux termes de l'art. 310 al. 1 let. a CPP, une ordonnance de non-entrée en matière est rendue immédiatement – c’est-à-dire sans qu’une instruction soit ouverte (art. 309 al. 1 et 4 CPP; TF 1B_111/2012 du</w:t>
      </w:r>
    </w:p>
    <w:p>
      <w:r>
        <w:rPr>
          <w:b/>
        </w:rPr>
        <w:t>E. 5</w:t>
      </w:r>
    </w:p>
    <w:p>
      <w:r>
        <w:t>En définitive, le recours doit être rejeté et l'ordonnance attaquée confirmée. Les frais de la procédure de recours, constitués en l’espèce de l’émolument d'arrêt, par 880 fr. (art. 20 al. 1 TFJP [tarif des frais judiciaires pénaux; RSV 312.03.1]), seront mis à la charge de la recourante, qui succombe (art. 428 al. 1 CPP). Par ces motifs, la Chambre des recours pénale, statuant à huis clos, prononce : I. Le recours est rejeté. II. L'ordonnance attaquée est confirmée. III. Les frais de la procédure de recours, par 880 fr. (huit cent huitante francs), sont mis à la charge de P.________. IV. Le présent arrêt est exécutoire. Le vice-président : La greffière :</w:t>
      </w:r>
    </w:p>
    <w:p>
      <w:r>
        <w:t>- 9 - Du L'arrêt qui précède, dont la rédaction a été approuvée à huis clos, est notifié, par l'envoi d'une copie complète, à : - Mme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