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PE12.019559 vom 12. Dezember 2017</w:t>
      </w:r>
    </w:p>
    <w:p>
      <w:r>
        <w:t>VD Tribunal cantonal, 2017-12-12, FR</w:t>
      </w:r>
    </w:p>
    <w:p>
      <w:r>
        <w:rPr>
          <w:b/>
        </w:rPr>
        <w:t xml:space="preserve">Quelle: </w:t>
      </w:r>
      <w:r>
        <w:t>https://mcp.opencaselaw.ch/entscheid/vd_gerichte_PE12.019559</w:t>
      </w:r>
    </w:p>
    <w:p>
      <w:r>
        <w:t>FR: VD_GERICHTE PE12.019559 du 12 décembre 2017</w:t>
      </w:r>
    </w:p>
    <w:p>
      <w:r>
        <w:t>IT: VD_GERICHTE PE12.019559 del 12 dicembre 2017</w:t>
      </w:r>
    </w:p>
    <w:p>
      <w:pPr>
        <w:pStyle w:val="Heading2"/>
      </w:pPr>
      <w:r>
        <w:t>Erwägungen</w:t>
      </w:r>
    </w:p>
    <w:p>
      <w:r>
        <w:rPr>
          <w:b/>
        </w:rPr>
        <w:t>E. 4.1</w:t>
      </w:r>
    </w:p>
    <w:p>
      <w:r>
        <w:t>L'art.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w:t>
      </w:r>
    </w:p>
    <w:p>
      <w:r>
        <w:t>- 18 -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(TF 6S.380/2001 du 13 novembre 2001 consid. 2b/aa non publié in ATF 128 IV 255 et les références citées; TF 6B_587/2012 du 22 juillet 2013 consid. 4.1).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TF 6B_944/2016 du 29 août 2017 consid. 2.2).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p. 213 s.).</w:t>
      </w:r>
    </w:p>
    <w:p>
      <w:r>
        <w:t>- 19 -</w:t>
      </w:r>
    </w:p>
    <w:p>
      <w:r>
        <w:rPr>
          <w:b/>
        </w:rPr>
        <w:t>E. 4.2</w:t>
      </w:r>
    </w:p>
    <w:p>
      <w:r>
        <w:t>En l’espèce, et dans la mesure où il n’est, comme indiqué au considérant 3.3 ci-dessus, pas établi que la carrosserie vendue au plaignant n’était pas du type de celle promise par le prévenu, on ne peut à l’évidence pas retenir l’existence d’une tromperie au préjudice du plaignant. Un élément constitutif de l’infraction d’escroquerie fait ainsi défaut. La question de l’existence d’une éventuelle astuce ne se pose donc pas. Partant, la qualification juridique d’escroquerie est exclue, de même que toute condamnation du prévenu. La partie plaignante ne peut en outre qu’être renvoyée à agir par la voie civile (art. 126 al. 2 let. d CPP).</w:t>
      </w:r>
    </w:p>
    <w:p>
      <w:r>
        <w:rPr>
          <w:b/>
        </w:rPr>
        <w:t>E. 5.1</w:t>
      </w:r>
    </w:p>
    <w:p>
      <w:r>
        <w:t>En vertu de l’art. 423 al. 1 CPP, les frais de procédure sont mis à la charge de la Confédération ou du canton qui a conduit la procédure; les dispositions contraires du CPP sont réservées.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consid. 5.1.2; Chapuis, in : Kuhn/Jeanneret [éd.], op. cit., n. 2 ad art. 426 CPP) – et a provoqué ainsi l'ouverture d'une</w:t>
      </w:r>
    </w:p>
    <w:p>
      <w:r>
        <w:t>- 20 - enquête pénale ou compliqué celle-ci (ATF 116 Ia 162 consid. 2d et 2e; TF 6B_87/2012 du 27 avril 2012 consid. 1.2). Seul un comportement fautif et contraire à une règle juridique, qui soit en relation de causalité avec les frais imputés, entre en ligne de compte (ATF 119 Ia 332 consid. 1b; ATF 116 Ia 162 consid. 2c; TF 6B_387/2009 du 20 octobre 2009 consid. 1.1;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 Sur la base de ces principes généraux, la jurisprudence admet la condamnation d'un prévenu acquitté à supporter tout ou partie des frais dans l’hypothèse où un dol au sens de l’art. 28 CO peut lui être reproché (TF 6B_998/2010 du 31 août 2011 et les références citées).</w:t>
      </w:r>
    </w:p>
    <w:p>
      <w:r>
        <w:rPr>
          <w:b/>
        </w:rPr>
        <w:t>E. 5.2</w:t>
      </w:r>
    </w:p>
    <w:p>
      <w:r>
        <w:t>En l’espèce, l’absence d’une tromperie exclut le dol au sens de l’art. 28 CO lors de la conclusion du contrat de vente incriminé. Il n’apparaît en outre pas que le prévenu aurait violé une autre norme de comportement qui aurait été à l’origine de l'ouverture de l'enquête pénale ou aurait compliqué celle-ci. Il s’ensuit que les frais de la cause doivent être laissés à la charge de l’Etat en application du principe général posé à l’art. 423 al. 1 CPP.</w:t>
      </w:r>
    </w:p>
    <w:p>
      <w:r>
        <w:rPr>
          <w:b/>
        </w:rPr>
        <w:t>E. 6</w:t>
      </w:r>
    </w:p>
    <w:p>
      <w:r>
        <w:t>Le prévenu conclut à la réforme du jugement en ce sens qu’il n’est le débiteur d’aucune indemnité fondée sur l’art. 433 al. 1 CPP envers le plaignant.</w:t>
      </w:r>
    </w:p>
    <w:p>
      <w:r>
        <w:rPr>
          <w:b/>
        </w:rPr>
        <w:t>E. 6.1</w:t>
      </w:r>
    </w:p>
    <w:p>
      <w:r>
        <w:t>Aux termes de l’art. 433 al. 1 CPP, la partie plaignante peut demander au prévenu une juste indemnité pour les dépenses obligatoires occasionnées par la procédure lorsqu’elle obtient gain de cause (let. a) ou</w:t>
      </w:r>
    </w:p>
    <w:p>
      <w:r>
        <w:t>- 21 - si le prévenu est astreint au paiement des frais, conformément à l’art. 426 al. 2 CPP (let. b).</w:t>
      </w:r>
    </w:p>
    <w:p>
      <w:r>
        <w:rPr>
          <w:b/>
        </w:rPr>
        <w:t>E. 6.2</w:t>
      </w:r>
    </w:p>
    <w:p>
      <w:r>
        <w:t>En l’espèce, dans la mesure où le prévenu est acquitté et que les frais sont laissés à la charge de l’État, il n’y a plus de place pour une indemnité à la partie plaignante en application de l’art. 433 CPP.</w:t>
      </w:r>
    </w:p>
    <w:p>
      <w:r>
        <w:rPr>
          <w:b/>
        </w:rPr>
        <w:t>E. 7</w:t>
      </w:r>
    </w:p>
    <w:p>
      <w:r>
        <w:t>Le prévenu conclut à l’octroi d’une indemnité fondée sur l’art. 429 al. 1 let. a CPP au titre de ses frais de défense en procédure de première instance.</w:t>
      </w:r>
    </w:p>
    <w:p>
      <w:r>
        <w:rPr>
          <w:b/>
        </w:rPr>
        <w:t>E. 7.1</w:t>
      </w:r>
    </w:p>
    <w:p>
      <w:r>
        <w:t>Aux termes de l’art. 429 al. 1 CPP, si le prévenu est acquitté totalement ou en partie ou s’il bénéficie d’une ordonnance de classement, il a droit à une indemnité pour les dépenses occasionnées par l’exercice raisonnable de ses droits de procédure (let. a).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TF 6B_237/2016 du 18 juillet 2016 consid. 3.1).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w:t>
      </w:r>
    </w:p>
    <w:p>
      <w:r>
        <w:t>- 22 - que lorsque les frais sont supportés par l’Etat en tout ou partie, une indemnisation entre en ligne de compte dans la même proportion (ATF 137 IV 352 consid. 2.4.2, JdT 2012 IV 255; TF 6B_77/2013 du 4 mars 2013 consid. 2.4).</w:t>
      </w:r>
    </w:p>
    <w:p>
      <w:r>
        <w:rPr>
          <w:b/>
        </w:rPr>
        <w:t>E. 7.2</w:t>
      </w:r>
    </w:p>
    <w:p>
      <w:r>
        <w:t>En l’espèce, le prévenu est libéré et les frais sont laissés à la charge de l’Etat. Il peut donc en principe prétendre à une indemnité fondée sur l’art. 429 al. 1 let. a CPP. Le prévenu a conclu à l’allocation d’une indemnité de 40'000 francs. Il a, dans un premier temps, été assisté de Me Jaccard selon procuration signée le 31 juin 2013 (P. 8/2). Me Moinat a repris le dossier le 14 avril 2016 (P. 84). S’agissant des opérations effectuées par Me Jaccard, le prévenu a uniquement produit une note d’honoraires détaillée de 8’871 fr. 80 (P. 116). Ce montant est composé de 8’085 fr. d’honoraires pour 23 heures et 5 minutes de travail à 350 fr. de l’heure, de 32 fr. de débours, de 100 fr. de frais de dossier et de 654 fr. 80 à titre de TVA. Le tarif horaire doit être ramené à 300 fr., à savoir au tarif moyen prévu par l’art. 26a al. 3, 1re phrase, TFIP (Tarif des frais de procédure et indemnités en matière pénale du 28 septembre 2010; RSV 312.03.1), le tarif de 350 fr. réclamé n’étant justifié par aucune circonstance particulière. Doivent donc être prises en compte, au titre de l’activité de Me Jaccard, 1385 minutes à 5 fr., soit 6’925 fr., ainsi que 132 fr., à savoir 7’057 francs. Compte tenu de la TVA à 8 %, l’indemnité se monte à 7’621 fr. 55. En ce qui concerne le mandat de Me Moinat, le prévenu a produit une note d’honoraires non détaillée de 16’686 fr. pour les opérations effectuées jusqu’au 28 mars 2017, ainsi qu’une note d’honoraires de 21'000 fr. pour celles effectuées jusqu’au 5 décembre 2017. Ces montants sont manifestement excessifs. L’acte d’accusation était en effet déjà rédigé lorsque cet avocat a été consulté. Le défenseur a ainsi uniquement dû prendre connaissance du dossier, s’entretenir avec son client, rédiger ses réquisitions en vue de l’audience, se préparer et</w:t>
      </w:r>
    </w:p>
    <w:p>
      <w:r>
        <w:t>- 23 - assister à deux audiences successives qui ont duré respectivement deux heures et une heure et demie. On peine à concevoir que ces activités aient nécessité plus de 20 heures de travail au total. A 300 fr. de l’heure (art. 26a al. 3, 1re phrase, TFIP), ces opérations représentent une somme totale de 6'000 francs. Compte tenu de la TVA à 8 %, l’indemnité se monte à 6’480 francs. Le montant total à allouer à titre d’indemnité selon l’art. 429 CPP, à la charge de l’État, s’élève ainsi à 14'101 fr. 55 (7’621 fr. 55 + 6’480 fr.).</w:t>
      </w:r>
    </w:p>
    <w:p>
      <w:r>
        <w:rPr>
          <w:b/>
        </w:rPr>
        <w:t>E. 8</w:t>
      </w:r>
    </w:p>
    <w:p>
      <w:r>
        <w:t>Enfin, une erreur dactylographique manifeste au chiffre VI du dispositif du jugement sera corrigée d’office en ce sens que toutes autres ou plus amples conclusions sont rejetées.</w:t>
      </w:r>
    </w:p>
    <w:p>
      <w:r>
        <w:rPr>
          <w:b/>
        </w:rPr>
        <w:t>E. 9</w:t>
      </w:r>
    </w:p>
    <w:p>
      <w:r>
        <w:t>Frais Vu l’issue des appels, les frais de la procédure d’appel (art. 21 al. 1 et 2 TFIP) seront mis à la charge de W.________ à raison des trois quarts, dès lors que cette partie succombe entièrement sur ses conclusions et sur celles du prévenu, et à la charge de Q.________ à raison d’un quart, sachant que ce dernier n’obtient que partiellement gain de cause (art. 428 al. 1, 1re phrase, CPP). Q.________ a conclu à l’octroi, à la charge de W.________, d’une indemnité pour les dépenses occasionnées par l'exercice raisonnable de ses droits en procédure d’appel. L’indemnité requise doit être allouée en application de l’art. 432 CPP, applicable par renvoi de l’art. 436 al. 1 CPP. Elle sera réduite dans la même proportion que les frais d’appel, soit d’un quart. La pleine indemnité serait fondée sur une durée d’activité d’avocat de 13 heures, y compris l’audience d’appel, sur la base d’un tarif horaire de 300 fr. (art. 26a al. 3 TFIP) incluant un montant au titre de la TVA, mais débours en plus, par 100 francs. Réduit d’un quart, le montant théorique de 4'000 fr. doit ainsi être ramené à 3'000 francs.</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