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PE12.019074 vom 20. Dezember 2012</w:t>
      </w:r>
    </w:p>
    <w:p>
      <w:r>
        <w:t>VD Tribunal cantonal, 2012-12-20, FR</w:t>
      </w:r>
    </w:p>
    <w:p>
      <w:r>
        <w:rPr>
          <w:b/>
        </w:rPr>
        <w:t xml:space="preserve">Quelle: </w:t>
      </w:r>
      <w:r>
        <w:t>https://mcp.opencaselaw.ch/entscheid/vd_gerichte_PE12.019074</w:t>
      </w:r>
    </w:p>
    <w:p>
      <w:r>
        <w:t>FR: VD_GERICHTE PE12.019074 du 20 décembre 2012</w:t>
      </w:r>
    </w:p>
    <w:p>
      <w:r>
        <w:t>IT: VD_GERICHTE PE12.019074 del 20 dicembre 2012</w:t>
      </w:r>
    </w:p>
    <w:p>
      <w:pPr>
        <w:pStyle w:val="Heading2"/>
      </w:pPr>
      <w:r>
        <w:t>Volltext</w:t>
      </w:r>
    </w:p>
    <w:p>
      <w:r>
        <w:t>TRIBUNAL CANTONAL 837 PE12.019074-VIY CHAMBRE DE S RECO URS PEN ALE __________________________________________ Séance du 20 décembre 2012 __________________ Présidence de Mme EPARD, vice-présidente Juges : M. Meylan et Mme Byrde Greffier : M. Addor ***** Art. 310, 393 al. 1 let. a CPP Vu la plainte déposée le 6 octobre 2012 par B.________ contre V.________ pour diffamation, vu l'ordonnance de non-entrée en matière rendue le 23 novembre 2012 par le Ministère public de l'arrondissement de Lausanne (dossier n° PE12.019074-VIY), vu le recours interjeté le 3 décembre 2012 par B.________ contre cette décision, vu la lettre du 18 décembre 2012, par laquelle la procureure a indiqué qu'elle n'entendait pas déposer de déterminations, vu les pièces du dossier; attendu que, déposé en temps utile (art. 322 al. 2 CPP [Code de procédure pénale suisse du 5 octobre 2007; RS 312.0], par renvoi de 351</w:t>
      </w:r>
    </w:p>
    <w:p>
      <w:r>
        <w:t>- 2 - l'art. 310 al. 2 et art. 396 al. 1 CPP), contre une décision de non-entrée en matière rendue par le Ministère public (art. 310 et 393 al. 1 let. a CPP) par le plaignant qui a qualité pour recourir (cf. 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il est reproché à V.________ d'avoir dit à [...], dans les bureaux de l'employeur du plaignant B.________, que celui-ci s'était vanté auprès de Z.________ d'avoir entretenu une relation sexuelle avec la prénommée, que le recourant, qui dit vivre en concubinage avec son amie depuis près de cinq ans, considère que ces propos portent atteinte à son honneur,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l'honneur protégé par le droit pénal est conçu de façon générale comme un droit au respect qui est lésé par toute assertion propre à exposer la personne visée au mépris en sa qualité d'homme (ATF 137 IV 313 c. 2.1.1; ATF 132 IV 112 c. 2.1; ATF 128 IV 53 c. 1a), qu'autrement dit, l'honneur protégé est la réputation et le sentiment d'être un homme honorable, c'est-à-dire de se comporter comme un homme digne a coutume de le faire selon les conceptions généralement reçues (ATF 132 IV 112 c. 2.1; ATF 128 IV 53 c. 1a), que les conjoints vivant en union libre ne sont pas soumis à l'obligation de fidélité que la loi impose aux époux mariés (art. 159 al. 3 CC [Code civil suisse du 10 décembre 2007; RS 210]), qu'il résulte de ce qui précède que les considérations émises sur le caractère potentiellement attentatoire à l'honneur de l'accusation</w:t>
      </w:r>
    </w:p>
    <w:p>
      <w:r>
        <w:t>- 3 - d'adultère valent, a fortiori, pour le soupçon d'infidélité dans le cadre d'une union libre, que si les juges fédéraux ont certes estimé, au début des années septante, que l'évocation d'un adultère pouvait être considérée comme diffamatoire (ATF 98 IV 86 c. 2, ATF 96 IV 56 c. 3), les mœurs ont cependant bien évolué depuis lors, au point que l'art. 214 CP, qui érigeait l'adultère en infraction pénale, a été abrogé le 1er janvier 1990 (cf. FF 1985 II 1021, spéc. 1066), qu'il est dès lors douteux que cette jurisprudence soit encore d'actualité de nos jours (cf. RJN 2001 p. 162, c. 4a; Corboz, La diffamation, in : SJ 1992 p. 629, spéc. 637), qu'en tout état de cause, le fait de dire que quelqu'un s'est vanté d'avoir entretenu une relation sexuelle avec une femme autre que son épouse ou sa concubine n'est pas attentatoire à l'honneur tel qu'il est protégé par le droit pénal, que le fait que les propos litigieux fassent apparaître le recourant comme un fanfaron n'est pas propre à l'exposer au mépris en sa qualité d'être humain, que les éléments constitutifs de l'infraction de diffamation n'étant manifestement pas réunis, c'est avec raison que la procureure a rendu une ordonnance de non-entrée en matière; attendu, en définitive, que le recours doit être rejeté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 du 23 novembre 2012.</w:t>
      </w:r>
    </w:p>
    <w:p>
      <w:r>
        <w:t>- 4 - III. Dit que les frais d'arrêt, par 330 fr. (trois cent trente francs), sont mis à la charge de B.________. IV. Déclare le présent arrêt exécutoire. La vice-présidente : Le greffier : Du L'arrêt qui précède, dont la rédaction a été approuvée à huis clos, est notifié, par l'envoi d'une copie complète, à :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