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PE12.017711 vom 15. Oktober 2015</w:t>
      </w:r>
    </w:p>
    <w:p>
      <w:r>
        <w:t>VD Tribunal cantonal, 2015-10-15, FR</w:t>
      </w:r>
    </w:p>
    <w:p>
      <w:r>
        <w:rPr>
          <w:b/>
        </w:rPr>
        <w:t xml:space="preserve">Quelle: </w:t>
      </w:r>
      <w:r>
        <w:t>https://mcp.opencaselaw.ch/entscheid/vd_gerichte_PE12.017711</w:t>
      </w:r>
    </w:p>
    <w:p>
      <w:r>
        <w:t>FR: VD_GERICHTE PE12.017711 du 15 octobre 2015</w:t>
      </w:r>
    </w:p>
    <w:p>
      <w:r>
        <w:t>IT: VD_GERICHTE PE12.017711 del 15 ottobre 2015</w:t>
      </w:r>
    </w:p>
    <w:p>
      <w:pPr>
        <w:pStyle w:val="Heading2"/>
      </w:pPr>
      <w:r>
        <w:t>Erwägungen</w:t>
      </w:r>
    </w:p>
    <w:p>
      <w:r>
        <w:rPr>
          <w:b/>
        </w:rPr>
        <w:t>E. 4</w:t>
      </w:r>
    </w:p>
    <w:p>
      <w:r>
        <w:t>Dans son mémoire d’appel complémentaire, l’appelant ne paraît pas remettre en cause l’appréciation des faits telle qu’elle a été opérée par le tribunal correctionnel s’agissant des faits commis au préjudice d’A.________. On rappellera à toutes fins utiles que le tribunal, après avoir exposé les versions diamétralement contradictoires de l’appelant et de la plaignante (jgt, pp. 59-62), a retenu les déclarations de cette dernière (jgt, p. 63). Il a écarté la version de l’appelant car il estimait qu’elle était dépourvue de crédibilité et que les raisons invoquées par l’appelant pour recevoir des versements étaient toutes fallacieuses. Quant à A.________, sa version n’a jamais varié au cours de la procédure, elle a documenté ses retraits d’argent (cf. P. 49) et ses explications, en particulier la description de la relation amoureuse telle qu’elle l’a vécue avec l’appelant,</w:t>
      </w:r>
    </w:p>
    <w:p>
      <w:r>
        <w:t>- 23 - permettent de mettre en lumière le déroulement des faits, et notamment le nombre de versements et leur ampleur, de manière logique et convaincante. Cette appréciation est correcte et les éléments mis en exergues par les premiers juges sont pertinents.</w:t>
      </w:r>
    </w:p>
    <w:p>
      <w:r>
        <w:rPr>
          <w:b/>
        </w:rPr>
        <w:t>E. 5</w:t>
      </w:r>
    </w:p>
    <w:p>
      <w:r>
        <w:t>L’appelant conteste s’être rendu coupable d’escroquerie en faisant valoir l’absence d’astuce. Il considère en substance qu’il n’existerait pas de relation de confiance totale entre lui et la plaignante, que celle-ci n’aurait pas pris en compte les mises en garde de ses amis, de la banque [...] et de sa fiduciaire et qu’elle n’aurait pas procédé aux vérifications de ses affirmations, de sorte qu’elle n’aurait ainsi pas observé les mesures de prudence élémentaires imposées par les circonstances.</w:t>
      </w:r>
    </w:p>
    <w:p>
      <w:r>
        <w:rPr>
          <w:b/>
        </w:rPr>
        <w:t>E. 5.1</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(ATF 128 IV 18 consid. 3a ; ATF 122 II 422 consid. 3a ; ATF 122 IV 246 consid. 3a et les arrêts cités).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w:t>
      </w:r>
    </w:p>
    <w:p>
      <w:r>
        <w:t>- 24 - vérifier ou prévoit, en fonction des circonstances, qu’elle renoncera à le faire, par exemple en raison d’un rapport de confiance particulier (ATF 133 IV 256 consid. 4.4.3 ; ATF 128 IV 18 consid. 3a).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128 IV 18 consid. 3a ; TF 6B_255/2012 du 28 février 2013 consid. 3). Une co-responsabilité de la dupe n’exclut toutefois l’astuce que dans des cas exceptionnels (ATF 135 IV 76 consid. 5.2 ; TF 6B_314/2011 du 27 octobre 2011 consid. 3.2.1 et les références citées). Le principe de co- responsabilité doit amener les victimes potentielles à faire preuve d'un minimum de prudence, mais ne saurait être utilisé pour nier trop aisément le caractère astucieux de la tromperie (ATF 128 IV 18 consid. 3a). Du point de vue subjectif, l’auteur doit avoir agi intentionnellement et dans un dessein d’enrichissement illégitime. Cet enrichissement, de l’auteur lui-même ou d’un tiers, est en général le pendant de l’appauvrissement de la victime et peut donc aussi être déduit de l’intention de causer un préjudice à la victime (ATF 119 IV 210 consid. 4b).</w:t>
      </w:r>
    </w:p>
    <w:p>
      <w:r>
        <w:t>- 25 -</w:t>
      </w:r>
    </w:p>
    <w:p>
      <w:r>
        <w:rPr>
          <w:b/>
        </w:rPr>
        <w:t>E. 5.2</w:t>
      </w:r>
    </w:p>
    <w:p>
      <w:r>
        <w:t>En l’espèce, J.________ a fait la rencontre d’A.________ alors que celle-ci venait d’emménager dans un appartement protégé et qu’elle se trouvait dans un état dépressif à la suite de la disparition récente de son époux et de la vente de la maison conjugale. Elle était vulnérable et en situation de détresse. A ce moment, elle avait besoin d’amour et d’entretenir une relation intime (PV aud. 11, p. 4). De son côté, l’appelant s’est spontanément présenté comme un chef d’entreprise, soit comme étant un personnage important, alors que tel n’était manifestement pas le cas. Il a rapidement compris que la plaignante se trouvait dans une situation de faiblesse et été mis au courant du fait qu’elle venait de recevoir une somme d’argent importante. C’est dans ces circonstances, et alors que J.________ savait qu’A.________ était moralement atteinte, qu’il a entrepris de la séduire. La prénommée est rapidement tombée amoureuse de l’appelant et a admis avoir surinvesti sa relation car elle en ressentait le besoin. Peu après leur rencontre, J.________, voyant qu’A.________ était amoureuse de lui et progressivement sous son emprise, a décidé d’abuser de la situation en lui demandant de l’argent. Pour ce faire, il a à chaque fois usé d’affirmations fallacieuses et difficilement vérifiables pour sa victime. Il a en effet commencé par lui demander la somme de 53'000 fr. sous prétexte qu’il devait payer ses prétendus employés. Cette première affirmation pouvait apparaître comme crédible pour la victime dès lors qu’il s’était présenté en tant qu’indépendant avec une situation stable. L’appelant a ensuite continué à réclamer de l’argent à la plaignante, sous d’autres motifs, toujours fallacieux et toujours en lien avec une situation d’urgence afin de susciter de la compassion et de l’aide de la part de cette dernière. Il a par exemple indiqué que sa mère était malade et devait rapidement être opérée ou qu’il avait été arrêté et allait être emprisonné. Tous les motifs invoqués par J.________ étaient faux. Ce dernier ne s’est par ailleurs pas arrêté là. Afin d’instaurer un rapport de confiance particulier et sachant pertinemment qu’A.________ était sentimentalement fragile, il lui a même laissé entendre qu’il voulait divorcer – lui demandant même de l’argent pour une telle procédure – et a insisté pour qu’elle vienne le</w:t>
      </w:r>
    </w:p>
    <w:p>
      <w:r>
        <w:t>- 26 - retrouver dans son pays d’origine, en lui disant qu’elle pourrait rencontrer des membres de sa famille (PV aud. 11, p. 4). Dans de telles circonstances, on ne saurait reprocher à la victime de ne pas avoir procédé à des vérifications afin de savoir si les motifs invoqués par l’appelant étaient réels ou non. Au vu de la situation de détresse dont elle était en proie, les motifs ne paraissaient pas invraisemblables. A.________ croyait l’appelant, voulait réellement l’aider et voulait qu’il se sorte des tracas qu’il lui racontait (PV aud. 21, p. 2 ; jgt, p. 29) Lorsque le doute sur la véracité des sentiments qu’éprouvait J.________ à son égard est apparu, A.________ lui a encore versé de l’argent à quelques reprises. A ce moment, il était trop tard. Cette dernière n’était, au regard de la relation qu’elle avait investie et qui avait été confortée par l’appelant, plus suffisamment lucide. Elle a déclaré que, jusqu’au bout, elle espérait qu’il change et devienne un homme bon. En outre, J.________ l’appelait en pleurant, lui disant même qu’il vivait comme un clochard (jgt, p. 29). Le plan échafaudé par ce dernier portait ses fruits. Enfin, il aura fallu plusieurs avertissements de la part de sa famille et de tiers pour qu’elle puisse finalement se rendre compte de la supercherie et déposer plainte, ce qui démontre la relation de confiance, ou plutôt de dépendance dans laquelle elle se trouvait. A cet instant, son moral était à nouveau au plus bas, comme l’atteste le certificat médical produit (P. 52/2). L’intensité de la relation ressentie était telle que des consultations régulières et un traitement médicamenteux ont dû être mis en place. Aujourd’hui, soit trois ans après les faits, elle est parvenue à se reprendre en main. Au vu de ce qui précède, c’est à juste titre que le tribunal correctionnel a retenu que J.________ s’est rendu coupable d’escroquerie. En bref, l’appelant a exploité la situation de vulnérabilité de la dupe et a fait en sorte de renforcer la relation établie entre eux alors même qu’il n’éprouvait pas de sentiment pour elle. Dans ces circonstances, elle n’a pas été en mesure de procéder à la vérification des affirmations fallacieuses de l’appelant, affirmations qui n’étaient au demeurant pas aussi aisément vérifiables que ce qu’il prétend, et elle ne saurait être considérée comme co-responsable du dommage qu’elle a subi.</w:t>
      </w:r>
    </w:p>
    <w:p>
      <w:r>
        <w:t>- 27 -</w:t>
      </w:r>
    </w:p>
    <w:p>
      <w:r>
        <w:rPr>
          <w:b/>
        </w:rPr>
        <w:t>E. 6</w:t>
      </w:r>
    </w:p>
    <w:p>
      <w:r>
        <w:t>L’appelant ayant conclu à son acquittement, il ne conteste pas la peine en tant que telle. Celle-ci est cependant vérifiée d’office par la cour de céans.</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w:t>
      </w:r>
    </w:p>
    <w:p>
      <w:r>
        <w:rPr>
          <w:b/>
        </w:rPr>
        <w:t>E. 6.2</w:t>
      </w:r>
    </w:p>
    <w:p>
      <w:r>
        <w:t>La lourde culpabilité de J.________ ainsi que les éléments retenus à charge par les premiers juges doivent être confirmés. Les faits perpétrés à l’encontre des plaignants sont graves et les montants obtenus de manière illicites sont très importants. L’appelant a agi par pu appât du gain et a exploité sans scrupule la faiblesse de ses victimes. Il a persisté à nier les faits tout au long de la procédure et n’a jamais cessé de reporter la responsabilité sur autrui, de sorte qu’il fait montre d’aucune prise de conscience ni de volonté d’amendement. J.________ a des antécédents.</w:t>
      </w:r>
    </w:p>
    <w:p>
      <w:r>
        <w:t>- 28 - Celui concernant sa condamnation de 2004 est particulièrement grave. La lourde peine de prison prononcée à son encontre à cette occasion n’a pas eu l’effet dissuasif escompté, l’appelant ayant commencé à commettre les infractions de la présente affaire peu après l’expiration de son délai d’épreuve. L’encrage dans la délinquance est durable. Le concours d’infractions sera pris en compte. A l’instar du tribunal de première instance, la cour de céans ne décèle aucun élément à décharge. Au vu des éléments qui précède, la peine privative de liberté de 4 ans prononcée par le tribunal correctionnel est adéquate et doit être confirmée. La détention avant jugement sera déduite, de même que la période de détention extraditionnelle.</w:t>
      </w:r>
    </w:p>
    <w:p>
      <w:r>
        <w:rPr>
          <w:b/>
        </w:rPr>
        <w:t>E. 7</w:t>
      </w:r>
    </w:p>
    <w:p>
      <w:r>
        <w:t>L’appelant soutient enfin que les conditions dans lesquels il a été détenu au centre de détention de [...] en Albanie seraient illicites et contraire à la CEDH, de sorte qu’il y aurait lieu de déduire de la peine prononcée à tout le moins 57 jours de détention correspondant à la moitié des 113 jours passés en détention extraditionnelle.</w:t>
      </w:r>
    </w:p>
    <w:p>
      <w:r>
        <w:rPr>
          <w:b/>
        </w:rPr>
        <w:t>E. 7.1</w:t>
      </w:r>
    </w:p>
    <w:p>
      <w:r>
        <w:t>Selon la jurisprudence du Tribunal fédéral, lorsqu'une irrégularité constitutive d'une violation d'une garantie constitutionnelle a entaché la procédure relative à la détention provisoire, celle-ci doit en principe être réparée par une décision de constatation (ATF 139 IV 41 consid. 3.1 et les arrêts cités). Il doit en aller de même lorsque le prévenu estime avoir subi, du fait de la mise en détention provisoire, un traitement prohibé par l'art. 3 CEDH. Dans un tel cas, l'intéressé dispose d'un droit propre à ce que les agissements dénoncés fassent l'objet d'une enquête prompte et impartiale (ATF 139 IV 41 consid. 3.1 et les arrêts cités). Par ailleurs, ce n'est qu'à l'issue de la procédure qu'il y aurait lieu de tirer les conséquences d'une telle constatation (cf. les art. 429 ss CPP s'agissant de l'indemnisation ; ATF 139 IV 41 consid. 3.4 in fine).</w:t>
      </w:r>
    </w:p>
    <w:p>
      <w:r>
        <w:rPr>
          <w:b/>
        </w:rPr>
        <w:t>E. 7.2</w:t>
      </w:r>
    </w:p>
    <w:p>
      <w:r>
        <w:t>En l’espèce, il ne figure au dossier aucune décision constatant l’illicéité des conditions de la détention extraditionnelle subie par l’appelant. Par ailleurs, les documents qu’il a produits à cet égard ne</w:t>
      </w:r>
    </w:p>
    <w:p>
      <w:r>
        <w:t>- 29 - sauraient avoir la valeur d’une décision formelle dès lors qu’ils n’émanent pas d’autorités officielles et qu’il ne s’agit que d’un simple communiqué de presse et d’un rapport d’experts, datant au demeurant d’avant le début de la période de détention concernée. De toute manière, l’appelant n’avait conclu à une indemnité, sur la base de l’art. 431 CPP, devant l’autorité de première instance que pour ce qui concernait la période de détention qu’il avait effectuée à l’Hôtel de police de [...] et n’a jamais requis une telle indemnité s’agissant de la détention extraditionnelle. Il s’ensuit que la présente requête d’indemnisation, formulée pour la première fois au stade de la procédure d’appel, est une conclusion nouvelle. Pour les deux motifs évoqués ci-dessus, la conclusion tendant à l’indemnisation de l’appelant en raison de la détention qu’il a subie en vue de son extradition doit être déclarée irrecevable.</w:t>
      </w:r>
    </w:p>
    <w:p>
      <w:r>
        <w:rPr>
          <w:b/>
        </w:rPr>
        <w:t>E. 8</w:t>
      </w:r>
    </w:p>
    <w:p>
      <w:r>
        <w:t>En définitive, l’appel de J.________ doit être rejeté dans la mesure de sa recevabilité et le jugement entrepris intégralement confirmé. Vu l’issue de la cause, l’émolument d’arrêt, par 3’120 fr. (art. 21 al. 1 et 2 TFIP [Tarif des frais de procédure et indemnités en matière pénale du 28 septembre 2010 ; RSV 312.03.1]), sera mis à la charge de l’appelant qui succombe (art. 428 al. 1 CPP). Sur la base de la liste d’opérations produite, une indemnité pour la procédure d’appel d’un montant de 5'886 fr., TVA et débours inclus, sera allouée au défenseur d’office de l’appelant. Au vu du sort de l’appel, elle sera entièrement mise à la charge de l’appelant. Au regard de la nature de l’affaire, une indemnité pour la procédure d’appel d’un montant de 1'155 fr. 60, sera allouée au conseil d’office de F.________. Ce montant sera intégralement mis à la charge de l’appelant puisque la partie plaignante ne succombe pas à l’appel. J.________ ne sera tenu de rembourser à l’Etat l’entier de l’indemnité en faveur de son défenseur d’office et de l’indemnité en faveur</w:t>
      </w:r>
    </w:p>
    <w:p>
      <w:r>
        <w:t>- 30 - du conseil d’office de F.________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