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PE12.017484 vom 6. Mai 2013</w:t>
      </w:r>
    </w:p>
    <w:p>
      <w:r>
        <w:t>VD Tribunal cantonal, 2013-05-06, FR</w:t>
      </w:r>
    </w:p>
    <w:p>
      <w:r>
        <w:rPr>
          <w:b/>
        </w:rPr>
        <w:t xml:space="preserve">Quelle: </w:t>
      </w:r>
      <w:r>
        <w:t>https://mcp.opencaselaw.ch/entscheid/vd_gerichte_PE12.017484</w:t>
      </w:r>
    </w:p>
    <w:p>
      <w:r>
        <w:t>FR: VD_GERICHTE PE12.017484 du 6 mai 2013</w:t>
      </w:r>
    </w:p>
    <w:p>
      <w:r>
        <w:t>IT: VD_GERICHTE PE12.017484 del 6 maggio 2013</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Ruckstuhl, in : Niggli/Heer/ Wiprächtiger [éd.], Basler Kommentar, Schweizerische Strafprozessordnung, Jugendstrafprozessordnung, Bâle 2011, nn. 15 et 16 ad art. 135 CPP; Harari/Aliberti, in : Kuhn/Jeanneret [éd.], Commentaire romand, Code de procédure pénale suisse, Bâle 2011, nn. 29 et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un avocat qui a qualité pour recourir contre la décision fixant l’indemnité qui lui est due en application de l’art. 135 CPP; déposé dans le délai de dix jours dès la communication du dispositif de la décision attaquée et dûment complété dans le délai imparti à cet effet en application de l’art. 385 al. 2 CPP, le recours est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w:t>
      </w:r>
    </w:p>
    <w:p>
      <w:r>
        <w:t>- 4 - des recours pénale est compétent pour statuer en tant que juge unique (art. 13 al. 2 LVCPP). L’indemnité due au défenseur d'office entre dans la notion de conséquences économiques d'une décision (Rémy, in : Kuhn/Jeanneret [éd.], op. cit., n. 2 ad art. 395 CPP, p. 1763; Schmid, Handbuch des schweizerischen Strafprozessrechts, 2009, n. 1521, p. 697; Stephenson/Thiriet, in : Niggli/Heer/ 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 montant réclamé par le recourant s'élève à 13’085 fr. 30 et celui qui lui a été alloué par la décision du 4 juin 2013 à 9'720 francs. Le montant litigieux s’élève ainsi à 3’365 fr. 30, de sorte que le recours relève de la compétence d'un juge unique de la Chambre des recours pénale (art. 395 let. b CPP; Juge unique CREP 29 décembre 2011/584 c. 1b).</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w:t>
      </w:r>
    </w:p>
    <w:p>
      <w:r>
        <w:t>- 5 -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 stagiaire à 110 fr., en règle générale sans TVA (cf. ATF 132 I 201; TF 6B_273/2009 du 2 juillet 2009 c. 2.1; cf. aussi art. 2 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b)S’agissant des déplacements, le Ministère public, se fondant sur la note n° 6.6 du Procureur général du canton de Vaud, les indemnise en accord avec l’Ordre des avocats vaudois par un montant forfaitaire – couvrant à la fois le temps de déplacement et les frais de transport – de 120 fr. pour les avocats brevetés (80 fr. pour les avocats stagiaires) par déplacement (aller-retour) entre l’étude de l’avocat et un Ministère public d’arrondissement. Examinant si un tel système était conforme au principe</w:t>
      </w:r>
    </w:p>
    <w:p>
      <w:r>
        <w:t>- 6 - d’une juste indemnisation du défenseur d’office selon l’art. 135 al. 1 CPP, la Chambre des recours pénale a reconnu qu’un certain schématisme en matière d’indemnisation des déplacements, conduisant à indemniser par un montant forfaitaire à la fois le temps passé à se déplacer et les frais de transport, apparaissait justifié au regard des nécessités de l’instruction pénale, et qu’une indemnité forfaitaire de 120 fr. pour les avocats brevetés (80 fr. pour les avocats stagiaires) pour chacun des déplacements entre l’étude de l’avocat et un Ministère public d’arrondissement ou le Ministère public central était équitable (Juge unique CREP 10 mai 2012/289 c. 3c; Juge unique CREP 25 février 2013/151 c. 3c). Estimant que cette solution était opportune et avait le mérite de la clarté et de la simplicité, la Chambre des recours civile a jugé qu’il convenait pour des motifs de cohérence de l’adopter également dans le domaine de l’assistance judiciaire en matière civile en indemnisant les vacations des conseils d’office par un montant forfaitaire de 120 fr. pour les avocats brevetés et de 80 fr. pour les avocats stagiaires, ce forfait valant pour tout le canton et couvrant tant les kilomètres parcourus que le temps du déplacement aller-retour (CREC 26 octobre 2012/382, in : JT 2013 III 3 c. 3). c)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w:t>
      </w:r>
    </w:p>
    <w:p>
      <w:r>
        <w:t>- 7 - connaissance de cause (TF 6B_124/2012 du 22 juin 2012 c. 2.2 et 2.3; TF 5D_45/2009 du 26 juin 2009 c. 3.1; TF 1P.85/2005 du 15 mars 2005 c. 2). d) En l’espèce, le recourant fait grief aux premiers juges de s’être écartés sans motif de la liste d’opérations qui leur était soumise à l’audience (P. 10 du bordereau en annexe du recours). Ses conclusions sont limitées aux honoraires réclamés sur la base de cette liste, à hauteur de 5'279 fr. 70, TVA comprise, compte tenu de la provision de 8'000 fr. déjà encaissée. Le jugement du Tribunal correctionnel ne comprend strictement aucune motivation quant à la fixation de l’indemnité d’office. La liste d’opérations dont se prévaut le recourant comporte un énoncé détaillé de ses opérations. Il n’en ressort aucun procédé superflu, s’agissant en particulier des vacations; de même, la durée d’activité dont elle fait état s’avère adéquate à tous égards. Dès lors, au vu des explications fournies dans le mémoire de recours motivé (P. 93/1) et de la liste d’opérations produite à l’audience de jugement de première instance – auxquelles il suffit de renvoyer en relevant que le recourant ne réclame aucun montant à titre de débours –, le recours doit être admis et le jugement réformé au chiffre XII de son dispositif en ce sens que l’indemnité d’office est fixée à 13'085 fr. 30, sous déduction de l’avance déjà versée.</w:t>
      </w:r>
    </w:p>
    <w:p>
      <w:r>
        <w:rPr>
          <w:b/>
        </w:rPr>
        <w:t>E. 3</w:t>
      </w:r>
    </w:p>
    <w:p>
      <w:r>
        <w:t>Le défenseur d'office qui recourt en son nom – ou qui mandate un de ses confrères pour recourir en son nom (juge unique CREP, 7 mars 2012/112 c. 3; juge unique CREP, 23 janvier 2013/38 c. 3) – a droit à des honoraires (Ruckstuhl, op. cit., n. 16 ad art. 135 CPP, p. 913; Pra 2008, n° 46; CREP 9 novembre 2011/477 c. 3; CREP 25 novembre 2011/567; CREP 29 décembre 2011/583 c. 3). L'indemnité qu'il convient d'allouer à ce titre à Me F.________ sera fixée à 720 fr., plus la TVA, par 57 fr. 60, soit 777 fr. 60. Les frais de la procédure de recours, constitués de l'émolument d'arrêt (art. 422 al. 1 CPP), par 630 fr. (art. 20 al. 1 TFJP; RSV</w:t>
      </w:r>
    </w:p>
    <w:p>
      <w:r>
        <w:t>- 8 - 312.03.1), ainsi que de l'indemnité allouée à Me F.________, par 777 fr. 60 (art. 422 al. 2 let. a CPP), seront laissés à la charge de l'Etat (art. 428 al. 1 CPP). Par ces motifs, le Juge de la Chambre des recours pénale, statuant à huis clos, prononce : I. Le recours est admis. II. Le jugement du 4 juin 2013 est réformé comme il suit au chiffre XII de son dispositif : XII. met à la charge de [...] une part des frais de la procédure, fixée à CHF 20'585.30, ce montant comprenant l’indemnité allouée à son défenseur d’office, Me F.________, arrêtée à CHF 13'085.30, débours et TVA inclus, sous déduction de l’avance de CHF 8'000.- (huit mille francs) déjà versée. III. L'indemnité allouée à Me F.________ pour la procédure de recours est fixée à 777 fr. 60 (sept cent septante-sept francs et soixante centimes). IV. Les frais d'arrêt, par 630 fr. (six cent trente francs), ainsi que l'indemnité allouée à Me F.________ pour la procédure de recours, par 777 fr. 60 (sept cent septante-sept francs et soixante centimes), sont laissés à la charge de l'Etat. V. L’arrêt est exécutoire. Le juge : Le greffier :</w:t>
      </w:r>
    </w:p>
    <w:p>
      <w:r>
        <w:t>- 9 - Du L'arrêt qui précède, dont la rédaction a été approuvée à huis clos, est notifié, par l'envoi d'une copie complète, à : - M. F.________, avocat, - Ministère public central; et communiqué à : - M. le Président du Tribunal correctionnel de l’arrondissement de La Côte,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