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PE12.017202 vom 13. Juni 2014</w:t>
      </w:r>
    </w:p>
    <w:p>
      <w:r>
        <w:t>VD Tribunal cantonal, 2014-06-13, FR</w:t>
      </w:r>
    </w:p>
    <w:p>
      <w:r>
        <w:rPr>
          <w:b/>
        </w:rPr>
        <w:t xml:space="preserve">Quelle: </w:t>
      </w:r>
      <w:r>
        <w:t>https://mcp.opencaselaw.ch/entscheid/vd_gerichte_PE12.017202</w:t>
      </w:r>
    </w:p>
    <w:p>
      <w:r>
        <w:t>FR: VD_GERICHTE PE12.017202 du 13 juin 2014</w:t>
      </w:r>
    </w:p>
    <w:p>
      <w:r>
        <w:t>IT: VD_GERICHTE PE12.017202 del 13 giugno 2014</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- 5 -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B.________ a entièrement admis les faits matériels retenus à son encontre, cela le 28 mai 2014 devant le Tribunal des mesures de contrainte et dans son recours (mémoire p. 2). Ainsi, comme l'a constaté ladite autorité, les éléments susmentionnés constituent des indices de culpabilité suffisamment sérieux pour justifier le prononcé de la détention provisoire.</w:t>
      </w:r>
    </w:p>
    <w:p>
      <w:r>
        <w:t>- 6 - c) L'ordonnance de détention provisoire est fondée sur le risque de réitération.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signifie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(TF1B_268/2013 du 29 août 2013 c. 4.1 et les références citées). Au demeurant, on peut retenir un risque de récidive lorsqu'il s'agit, conformément au principe de célérité, d'éviter que la procédure ne soit sans cesse compliquée et prolongée par la commission de nouveaux délits (TF 1B_344/2012 du 19 juin 2012, c. 3 et les références citées). En l'espèce, la recourante invoque la nécessité de poursuivre son traitement psychiatrique, des problèmes de garde pour ses deux enfants adolescents et la gravité selon elle de toute relative des infractions. Elle soutient également que les jours déjà passés en détention la dissuaderaient de recommencer. Si la composante psychiatrique de propension de la recourante à multiplier les infractions est indéniable, cela ne joue aucun rôle dans</w:t>
      </w:r>
    </w:p>
    <w:p>
      <w:r>
        <w:t>- 7 - l'examen des conditions d'une détention provisoire. Vu le nombre des infractions commises et ses antécédents tels qu'ils ressortent de son casier judiciaire, le risque de réitération est patent. On peut en outre admettre que l'ampleur de l'activité criminelle de la recourante compromet la sécurité publique, en particulier pour ce qui concerne la conduite sans permis. En tout état de cause, selon la jurisprudence, le risque de réitération peut aussi être retenu lorsqu'il s'agit d'éviter que la procédure ne soit sans cesse compliquée et prolongée par de nouveaux délits. En l'espèce, la recourante n'a tenu aucun compte d'un avertissement formel donné par le Procureur et elle a continué ses agissements, ce qui a donné lieu à plusieurs autres enquêtes, qui ont été jointes le 26 mai 2014. Une expertise psychiatrique sera mise en œuvre par le Ministère public, ce qui permettra d'avoir des éléments supplémentaires sur la situation personnelle de la prévenue, en particulier sous l'angle du risque de récidive. d) Conformément au principe de la proportionnalité (art. 36 al.</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de la recourante (art. 422 al. 1 et 2 let. a CPP), fixés à 270 fr. plus la TVA, par 21 fr. 60, soit à 291 fr. 60 au total, seront mis à la charge de cette dernière,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28 mai 2014 est confirmée. III. L'indemnité allouée au défenseur d'office de B.________ est fixée à 291 fr. 60 (deux cent nonante et un francs et soixante centimes).</w:t>
      </w:r>
    </w:p>
    <w:p>
      <w:r>
        <w:t>- 9 - IV. Les frais du présent arrêt, par 880 fr. (huit cent huitante francs), ainsi que l'indemnité due au défenseur d'office de la recourante selon le chiffre III ci-dessus, sont mis à la charge de B.________. V. Le remboursement à l'Etat de l'indemnité allouée au chiffre III ci-dessus sera exigible pour autant que la situation de B.________ se soit améliorée. VI. Le présent arrêt est exécutoire. Le président : La greffière : Du L'arrêt qui précède, dont la rédaction a été approuvée à huis clos, est notifié, par l'envoi d'une copie complète, à : - Me Philippe Vogel, avocat (pour B.________), - Ministère public central, et communiqué à : - M. le Président du Tribunal des mesures de contrainte, - M. le Procureur de l'arrondissement de Lausanne, par l’envoi de photocopies.</w:t>
      </w:r>
    </w:p>
    <w:p>
      <w:r>
        <w:t>- 10 -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