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PE12.016565 vom 16. Oktober 2017</w:t>
      </w:r>
    </w:p>
    <w:p>
      <w:r>
        <w:t>VD Tribunal cantonal, 2017-10-16, FR</w:t>
      </w:r>
    </w:p>
    <w:p>
      <w:r>
        <w:rPr>
          <w:b/>
        </w:rPr>
        <w:t xml:space="preserve">Quelle: </w:t>
      </w:r>
      <w:r>
        <w:t>https://mcp.opencaselaw.ch/entscheid/vd_gerichte_PE12.016565</w:t>
      </w:r>
    </w:p>
    <w:p>
      <w:r>
        <w:t>FR: VD_GERICHTE PE12.016565 du 16 octobre 2017</w:t>
      </w:r>
    </w:p>
    <w:p>
      <w:r>
        <w:t>IT: VD_GERICHTE PE12.016565 del 16 ottobre 2017</w:t>
      </w:r>
    </w:p>
    <w:p>
      <w:pPr>
        <w:pStyle w:val="Heading2"/>
      </w:pPr>
      <w:r>
        <w:t>Erwägungen</w:t>
      </w:r>
    </w:p>
    <w:p>
      <w:r>
        <w:rPr>
          <w:b/>
        </w:rPr>
        <w:t>E. 3</w:t>
      </w:r>
    </w:p>
    <w:p>
      <w:r>
        <w:t>- 6 -</w:t>
      </w:r>
    </w:p>
    <w:p>
      <w:r>
        <w:rPr>
          <w:b/>
        </w:rPr>
        <w:t>E. 3.1</w:t>
      </w:r>
    </w:p>
    <w:p>
      <w:r>
        <w:t>Le recourant reproche au procureur d’avoir fait une application erronée de l’art. 173 ch. 2 CP relatif à la preuve libératoire de la bonne foi, estimant que les conditions d’application de cette disposition ne seraient pas réalisées. Relevant qu’il a été acquitté dans le cadre de la procédure PE12.005881-ARS, le recourant fait valoir en substance que si, selon l’appréciation du procureur, « l'ensemble des intéressés étaient légitimés à suspecter de bonne foi des agissements délictueux de la part de M.________ et V.________ », respectivement qu’ils « avaient des raisons suffisantes de craindre la réalisation d'infractions pénales », ils ne pouvaient être certains de leur culpabilité, de sorte qu’ils auraient dû à tout le moins recourir à l’emploi du conditionnel, qui est spécialement conçu et utilisé pour émettre des hypothèses, et ne pas présenter de simples soupçons comme des affirmations.</w:t>
      </w:r>
    </w:p>
    <w:p>
      <w:r>
        <w:rPr>
          <w:b/>
        </w:rPr>
        <w:t>E. 3.2</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La calomnie au sens de l'art. 174 CP est quant à elle une forme qualifiée de diffamation, dont elle se distingue en cela que les allégations attentatoires à l'honneur sont fausses et que l'auteur doit avoir eu connaissance de la fausseté de ses allégations (TF 6B_201/2009 du 10 juin 2009 consid. 2.1). La diffamation comme la calomnie sont des infractions intentionnelles. L'intention de l'auteur doit porter sur tous les éléments constitutifs objectifs (Corboz, Les infractions en droit suisse, vol. I, 3e éd.,</w:t>
      </w:r>
    </w:p>
    <w:p>
      <w:r>
        <w:t>- 7 - Berne 2010, n. 48 ad art. 173 CP). L'auteur doit être conscient du caractère attentatoire à l'honneur de son allégation ; le dol éventuel est suffisant (ATF 118 IV 153 consid. 5g, JdT 1994 IV 110). Néanmoins, aux termes de l'art. 173 ch. 2 CP, l'inculpé n'encourt aucune peine s'il prouve que les allégations qu'il a articulées ou propagées sont conformes à la vérité ou qu'il avait des raisons sérieuses de les tenir de bonne foi pour vraies. Selon l'art. 173 ch. 3 CP, l'inculpé ne sera toutefois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Pour retenir la bonne foi, il faut ainsi que l'auteur établisse qu'il avait des raisons sérieuses de croire à ce qu'il disait et qu'il ait effectivement tenu pour vraies ses allégations. Celui-ci est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(Dupuis et al. [éd.], Petit commentaire, Code pénal, 2e éd., Bâle 2017, n. 37 ad art. 173 CP et les réf. cit.). Les allégations attentatoires à l’honneur émises par un avocat dans le cadre d’un procès sont justifiées par le devoir de plaider la cause et par le devoir de profession pour autant qu’elles soient pertinentes, qu’elles n’aillent pas au-delà de ce qui est nécessaire, qu’elles ne soient pas inutilement blessantes, qu’elles ne soient pas propagées de mauvaise foi et que de simples suppositions soient présentées comme telles (ATF 131 IV 154 consid. 1.3, Jdt 2007 IV 3 ; ATF 118 IV 248 consid. 2c). Enfin, conformément à l'art. 178 al. 1 CP, l'action pénale pour les délits contre l'honneur se prescrit par quatre ans.</w:t>
      </w:r>
    </w:p>
    <w:p>
      <w:r>
        <w:rPr>
          <w:b/>
        </w:rPr>
        <w:t>E. 3.3</w:t>
      </w:r>
    </w:p>
    <w:p>
      <w:r>
        <w:t>En l’occurrence, le procureur a considéré que les faits décrits dans le cadre la plainte du 13 avril 2012 étaient désormais atteints par la prescription. S’agissant de ceux décrits dans la plainte du 29 avril 2014, il</w:t>
      </w:r>
    </w:p>
    <w:p>
      <w:r>
        <w:t>- 8 - a constaté que les accusations émises à l’encontre du recourant et de M.________ portaient objectivement atteinte à leur honneur et qu’une ordonnance de classement avait finalement été rendue en leur faveur le 21 octobre 2016, avant d’être confirmée par la Cour de céans le 17 mars 2017. La lecture de ces deux dernières décisions suffisent toutefois à établir qu'au moment de déposer plainte, respectivement de développer leurs arguments devant la justice pénale, les prévenus étaient légitimés à suspecter de bonne foi des agissements délictueux de la part de M.________ et V.________. L'enquête avait en effet confirmé l'existence de plusieurs éléments troublants qui avaient justifié plusieurs années d'instruction. Ainsi notamment, il apparaissait qu'une expertise avait révélé un écart considérable entre la valeur objective du droit d'exploitation d'actifs incorporels détenus par U.________ SA et celle enregistrée dans la comptabilité de cette dernière, qu'au moins un important intermédiaire financier avait indiqué qu’il n’avait jamais entretenu de relations commerciales avec U.________ SA, contrairement à ce que cette dernière avait indiqué dans un descriptif destiné à ses investisseurs, que, s'agissant des accusations de détournement d'un prêt, les explications fournies par M.________ et V.________ étaient en contradiction avec un certain nombre de documents et, enfin, que la comptabilité n’avait pas été tenue à tout le mois entre les mois d’octobre 2011 et avril 2012, M.________ et V.________ n’échappant à la sanction prévue par l'art. 325 CP qu'en raison de la prescription. Compte tenu de ces éléments, le procureur a retenu que rien ne permettait de suspecter que les prévenus connaissaient la fausseté de leurs allégations. Au contraire, ils avaient eu des raisons suffisantes de craindre la réalisation d’infractions pénales et pouvaient par conséquent se prévaloir de leur bonne foi au sens de l'art. 173 ch. 2 CP, de sorte qu’un classement devait être rendu en leur faveur en application de l'art. 319 al. 1 let. b et e CPP.</w:t>
      </w:r>
    </w:p>
    <w:p>
      <w:r>
        <w:t>- 9 -</w:t>
      </w:r>
    </w:p>
    <w:p>
      <w:r>
        <w:rPr>
          <w:b/>
        </w:rPr>
        <w:t>E. 3.4</w:t>
      </w:r>
    </w:p>
    <w:p>
      <w:r>
        <w:t>Cette appréciation doit être confirmée, les griefs du recourant étant dénués de fondement. En effet, si la jurisprudence considère certes que les avocats peuvent alléguer un fait diffamatoire pour autant notamment que leurs allégations soient articulées de bonne foi et présentent de simples suppositions comme telles (cf. ATF 131 IV 154 et ATF 118 IV 248 précités), ces considérations se rapportent à l’allégation de faits dans un procès civil (ATF 131 IV 154) ou à des propos tenus dans un procès pénal pour la défense d’un accusé (ATF 118 IV 248). En revanche, lorsqu’une partie s’adresse au Ministère public pour dénoncer ce qu’elle estime être un comportement pénalement répréhensible ou à l’autorité de recours pour se plaindre d’un retard injustifié dans l’instruction de la procédure préliminaire, il appartient précisément à l’autorité pénale de vérifier si les conditions des infractions pénales dénoncées sont réalisées. Par conséquent, si la partie plaignante doit avoir des raisons suffisantes de tenir pour vraies ses allégations, celles-ci ont nécessairement la nature de soupçons – même sans l’emploi du conditionnel – dont il appartient par définition à l’autorité de vérifier s’ils sont avérés. En l’espèce, contrairement à ce que soutient le recourant, les éléments soigneusement examinés par le procureur permettent manifestement de retenir qu'au moment de saisir la justice pénale, respectivement de déployer leur argumentation dans le mémoire de recours incriminé dans la plainte du 29 avril 2014, les intimés avaient des raisons suffisantes de craindre de bonne foi la réalisation d'infractions pénales. L’ordonnance attaquée échappe ainsi à la critique en tant qu’elle ordonne le classement de la procédure pénale dirigée contre les intimés au motif que ceux-ci ont apporté la preuve libératoire de leur bonne foi.</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par 990 fr. (art. 20 al. 1 TFIP [Tarif des frais de procédure et indemnités en matière pénale du 28 septembre 2010 ; RSV</w:t>
      </w:r>
    </w:p>
    <w:p>
      <w:r>
        <w:t>- 10 - 312.03.1]), seront mis à la charge du recourant, qui succombe (art. 428 al. 1 CPP). Par ces motifs, la Chambre des recours pénale prononce : I. Le recours est rejeté. II. L’ordonnance du 28 septembre 2017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Adrian Schneider, avocat (pour V.________), - Me Jérôme Benedict, avocat (pour M.________), - Me G.________, avocat (pour N.________, K.________, C.Q.________, P.________, C.Q.________, J.________, H.________, S.________, F.________, A.Q.________, T.________, B.________ et pour lui-même), - Office des faillites de l’arrondissement de La Côte (pour M.________ SA en liquidation et X.________ SA en liquidation), - Ministère public central, et communiqué à : - M. le Procureur du Ministère public central, division criminalité économique,</w:t>
      </w:r>
    </w:p>
    <w:p>
      <w:r>
        <w:t>- 11 -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