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PE12.016278 vom 29. Januar 2016</w:t>
      </w:r>
    </w:p>
    <w:p>
      <w:r>
        <w:t>VD Tribunal cantonal, 2016-01-29, FR</w:t>
      </w:r>
    </w:p>
    <w:p>
      <w:r>
        <w:rPr>
          <w:b/>
        </w:rPr>
        <w:t xml:space="preserve">Quelle: </w:t>
      </w:r>
      <w:r>
        <w:t>https://mcp.opencaselaw.ch/entscheid/vd_gerichte_PE12.016278</w:t>
      </w:r>
    </w:p>
    <w:p>
      <w:r>
        <w:t>FR: VD_GERICHTE PE12.016278 du 29 janvier 2016</w:t>
      </w:r>
    </w:p>
    <w:p>
      <w:r>
        <w:t>IT: VD_GERICHTE PE12.016278 del 29 gennaio 2016</w:t>
      </w:r>
    </w:p>
    <w:p>
      <w:pPr>
        <w:pStyle w:val="Heading2"/>
      </w:pPr>
      <w:r>
        <w:t>Erwägungen</w:t>
      </w:r>
    </w:p>
    <w:p>
      <w:r>
        <w:rPr>
          <w:b/>
        </w:rPr>
        <w:t>E. 6</w:t>
      </w:r>
    </w:p>
    <w:p>
      <w:r>
        <w:t>En définitive, l’appel de C.G.________ doit être partiellement admis et le jugement attaqué réformé dans le sens des considérants qui précèdent. Vu la mesure dans laquelle l'appelant obtient gain de cause, les frais de la procédure d'appel seront mis pour moitié à sa charge, le solde étant laissé à la charge de l’Etat (art. 428 al. 1, 1ère phrase, CPP). Outre l'émolument de jugement, qui se monte à 2'680 fr. (art. 21 al. 1 et 2 TFIP [Tarif des frais de procédure et indemnités en matière pénale du 28 septembre 2010; RSV 312.03.1]), ces frais comprennent les indemnités allouées à son défenseur d’office et au conseil d'office de la partie plaignante. Au vu de la liste des opérations produite, c’est une indemnité de 1976 fr. 40, correspondant à 9 heures 30 d’activité à 180 fr. ainsi qu'à une vacation de 120 fr., plus la TVA, qui doit être allouée au défenseur d’office de C.G.________ pour la procédure d’appel. Quant au conseil d'office de B.G.________, elle doit se voir allouer, sur la base de la liste des opérations produite, une indemnité de 1'725 fr. 85, correspondant à 8 heures d’activité à 180 fr., une vacation à 120 fr. et 38 fr. de débours, plus la TVA.</w:t>
      </w:r>
    </w:p>
    <w:p>
      <w:r>
        <w:t>- 29 - L'appelant ne sera tenu de rembourser à l’Etat la moitié du montant des indemnités prévues ci-dessus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