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PE12.015892 vom 5. März 2015</w:t>
      </w:r>
    </w:p>
    <w:p>
      <w:r>
        <w:t>VD Tribunal cantonal, 2015-03-05, FR</w:t>
      </w:r>
    </w:p>
    <w:p>
      <w:r>
        <w:rPr>
          <w:b/>
        </w:rPr>
        <w:t xml:space="preserve">Quelle: </w:t>
      </w:r>
      <w:r>
        <w:t>https://mcp.opencaselaw.ch/entscheid/vd_gerichte_PE12.015892</w:t>
      </w:r>
    </w:p>
    <w:p>
      <w:r>
        <w:t>FR: VD_GERICHTE PE12.015892 du 5 mars 2015</w:t>
      </w:r>
    </w:p>
    <w:p>
      <w:r>
        <w:t>IT: VD_GERICHTE PE12.015892 del 5 marzo 2015</w:t>
      </w:r>
    </w:p>
    <w:p>
      <w:pPr>
        <w:pStyle w:val="Heading2"/>
      </w:pPr>
      <w:r>
        <w:t>Erwägungen</w:t>
      </w:r>
    </w:p>
    <w:p>
      <w:r>
        <w:rPr>
          <w:b/>
        </w:rPr>
        <w:t>E. 4.1</w:t>
      </w:r>
    </w:p>
    <w:p>
      <w:r>
        <w:t>L’appelante fait valoir que, selon la jurisprudence de la Cour de céans (CAPE, 11 janvier 2012, n° 1/2012), le taux de conversion de l’amende devrait être d’un jour par tranche de 100 francs. Le Ministère public soutient que le taux de conversion doit au contraire correspondre au montant du jour-amende.</w:t>
      </w:r>
    </w:p>
    <w:p>
      <w:r>
        <w:rPr>
          <w:b/>
        </w:rPr>
        <w:t>E. 4.2</w:t>
      </w:r>
    </w:p>
    <w:p>
      <w:r>
        <w:t>L'ancien droit prévoyait un taux de conversion de l'amende en peine privative de liberté fixe (cf. l'ancien art. 49 ch. 3 al. 3 CP, qui prévoyait 30 fr. pour un jour d'arrêts). Le nouveau droit n'impose plus un taux de conversion fixe. Cependant, la doctrine approuve la pratique selon laquelle le juge doit pouvoir se référer à des lignes directrices de fixation de la peine pour des infractions de masse. Dans ce genre de cas en effet, la situation financière de l'auteur n'entre pas ligne de compte dans la fixation du montant de l'amende. Un taux de conversion fixe ne risque ainsi pas d'entraîner une inégalité de la durée de la peine privative de liberté, en fonction des ressources financières du condamné. C'est ainsi que, selon les recommandations de la Conférence des autorités de poursuite pénale suisse (CAPS), le taux de conversion "standard" est de 100 fr. d'amende pour un jour de privation de liberté. Ce taux a finalement été retenu par la doctrine (Jeanneret, Les peines selon le nouveau Code pénal, in : Séminaire de formation continue des juges suisses concernant la partie générale du Code pénal, pp. 28 ss, spéc. p. 30, note de bas de page 140, cité par CCASS, 26 janvier 2009, n° 24/2009, c. 3). Cette même doctrine envisage, pour les infractions de masse, tantôt un taux de 50 fr. par jour, tantôt un taux de 100 fr. par jour. Ce dernier taux présente l'avantage de pouvoir être rattaché à un critère objectif, soit le ratio entre la valeur maximale de l'amende et le nombre maximum de jours de peine privative de liberté de substitution : 10'000 francs divisés par 90 jours, soit 111 fr., arrondis à 100 fr. (Jeanneret, op. cit. n. 19 ad. art. 106 CP).</w:t>
      </w:r>
    </w:p>
    <w:p>
      <w:r>
        <w:t>- 10 - S'agissant des contraventions moins courantes, qui ne sont pas traitées de manière standardisée, la doctrine suggère différentes pistes. La première solution consiste à appliquer un principe de conversion relevant purement du pouvoir d'appréciation du juge. Cette possibilité est sans doute la plus proche du texte légal. Une autre approche consiste à élaborer une règle de conversion qui repose sur un système proportionnel fondé sur l'équivalence des maxima et des minima : si l'on part du principe qu’un franc d'amende correspond à un jour de peine privative de liberté et que 10'000 fr. correspondent à 90 jours, alors que 5'000 fr. correspondent à 45 jours et ainsi de suite. Cette formule a le mérite d'atténuer quelque peu les inégalités de la conversion fixe. Une troisième solution, inspirée du régime des jours-amende, consiste à déterminer la peine en deux étapes. Dans un premier temps, le juge fixe le montant de l'amende forfaitaire qu'il estime juste en prenant en compte toutes les circonstances, mais, s'agissant de la situation financière, il prend en considération un citoyen suisse réalisant le revenu national ou cantonal moyen. Le juge applique à ce chiffre le taux de conversion fixe de 100 fr. pour déterminer le quantum de la peine de substitution. Dans un second temps, il augmente ou diminue le montant de l'amende correspondant au citoyen moyen, en fonction de la situation financière particulière du condamné, afin de déterminer le montant de l'amende qu'il va concrètement infliger (Jeanneret, op. cit., n. 20 ad art. 106 CP; CCASS, 25 octobre 2010, n° 413/2010, c. 7b; CCASS, 6 décembre 2010, n° 473/2010). Le juge dispose, en ce qui concerne la fixation de la peine privative de liberté de substitution, d'un pouvoir d'appréciation étendu. Lorsqu'une telle peine doit être fixée pour une amende additionnelle au sens de l'art. 42 al. 4 CP, il y a ceci de particulier que le juge a déjà fixé le montant du jour-amende pour la peine principale assortie du sursis, partant la capacité économique de l'auteur. Il est possible et peut même paraître adéquat d'utiliser le montant du jour-amende comme taux de conversion et de diviser l'amende additionnelle par ce montant (CCASS, 9 février 2009, n° 41/2009, c. 5.1).</w:t>
      </w:r>
    </w:p>
    <w:p>
      <w:r>
        <w:t>- 11 -</w:t>
      </w:r>
    </w:p>
    <w:p>
      <w:r>
        <w:rPr>
          <w:b/>
        </w:rPr>
        <w:t>E. 4.3</w:t>
      </w:r>
    </w:p>
    <w:p>
      <w:r>
        <w:t>Il ne s’agit pas ici d’une contravention standard du contentieux de masse, mais d’une peine accessoire sanctionnant un délit. Il était donc cohérent d’appliquer le taux de conversion équivalent au montant du jour- amende, soit 20 fr. par jour.</w:t>
      </w:r>
    </w:p>
    <w:p>
      <w:r>
        <w:rPr>
          <w:b/>
        </w:rPr>
        <w:t>E. 5</w:t>
      </w:r>
    </w:p>
    <w:p>
      <w:r>
        <w:t>En définitive, l’appel sera rejeté. L'émolument d’appel (art. 21 al. 1 et 2 TFIP [Tarif des frais de procédure et indemnités en matière pénale du 28 septembre 2010; RSV 312.03.1]) sera mis à la charge de l’appelante, qui succombe (art. 428 al. 1 CPP). La prévenue, qui a agi assistée par un défenseur de choix, a conclu à l’octroi d’une indemnité pour les dépenses occasionnées par l'exercice raisonnable de ses droits de procédure au sens de l’art. 429 CPP, pour les opérations liées à la procédure d'appel. Elle a chiffré et justifié ses prétentions conformément à l’art. 429 al. 2 CPP. Toutefois, dans la mesure où son appel est mal fondé, une telle indemnité ne se justifie pas, faute pour la prévenue d’être acquittée totalement ou même en partie au sens de l’art. 429 al. 1 in initio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